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yyforce6k091426.htm"/>
      <w:bookmarkStart w:id="1" w:name="ksyyforce6k091426"/>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YYForce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 Paya Lebar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#09-13/14/15/16/17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Paya Lebar Square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409051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FORM 6-K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14, 2026, YYForce Inc. (the “Company”) entered into an employment agreement with Andrew Davison (the “Employment Agreement”) and Mr. Davison was appointed as Chief Strategy Officer of the Company effective on September 14,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biographical information of the newly appointed Chief Strategy Officer is set forth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Andrew Davison, age 47, possesses over 20 years of executive leadership experience spanning the APAC, EMEA, UK, and US markets, specializing in commercial strategy, scaling high-performing teams, financial management, margin and risk control, and complex cross-functional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October 2022 to March 2026, Mr. Davison served as the Director and Head of Transformational Delivery (APAC) at Lancia Consult, Singapore, responsible for Lancia Consult’s APAC region, accountable for delivery performance, portfolio health, and the capability build required to scale the business across multiple markets. From June 2019 to July 2022, Mr. Davison served as Senior Principal Consultant at Slalom Consulting, London, responsible for leading complex engagements for global organizations, combining executive advisory with direct program governance and cross-functional delivery leadership across digital, operational and enterprise change initiatives. From January 2011 to May 2019, Mr. Davison served as Principal at BCS Consulting, London, responsible for leading regulatory and business transformation engagements for global financial institutions, combining executive advisory with hands-on program leadership and execution. From February 2004 to August 2010, Mr. Davison served as Client Relationship Manager at Morgan Stanley, Glasgow &amp; London, responsible for managing the flow of information, risk, and decisions between institutional clients, the trading desk, and internal functions including Risk, Finance, and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Davison holds a BCom (Hons) in Business Studies and Economics from the University of Edinburgh in 2001 and has completed executive training in Strategic Leadership with AI &amp; ML at Singapore Management University in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Mr. Davison entered into Employment Agreement dated September 14, 2026, which is filed hereto as Exhibit 10.1. Pursuant to the Employment Agreement, Mr. Davison’s annual base salary is SGD$156,000 (approximately US $123,000). Mr. Davison will also be eligible to participate in Company’s certain benefits as may be offered from time to time. The foregoing description is qualified by reference to the full text of the Employment Agreement. On September 9, 2026, the Company issued a press release announcing the appointment of Mr. Davison. A copy of the press release is attached hereto as Exhibit 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This report on Form 6-K and the attached exhibits are incorporated by reference into the Company’s registration statements on Form F-3, as amended (File Nos. </w:t>
      </w:r>
      <w:hyperlink r:id="rId2">
        <w:r>
          <w:rPr>
            <w:rStyle w:val="InternetLink"/>
            <w:rFonts w:ascii="Times New Roman;Times;Serif" w:hAnsi="Times New Roman;Times;Serif"/>
            <w:b w:val="false"/>
            <w:i w:val="false"/>
            <w:caps w:val="false"/>
            <w:smallCaps w:val="false"/>
            <w:sz w:val="20"/>
          </w:rPr>
          <w:t>333-297406</w:t>
        </w:r>
      </w:hyperlink>
      <w:r>
        <w:rPr>
          <w:rFonts w:ascii="Times New Roman;Times;Serif" w:hAnsi="Times New Roman;Times;Serif"/>
          <w:b w:val="false"/>
          <w:i w:val="false"/>
          <w:caps w:val="false"/>
          <w:smallCaps w:val="false"/>
          <w:sz w:val="20"/>
        </w:rPr>
        <w:t xml:space="preserve"> and </w:t>
      </w:r>
      <w:hyperlink r:id="rId3">
        <w:r>
          <w:rPr>
            <w:rStyle w:val="InternetLink"/>
            <w:rFonts w:ascii="Times New Roman;Times;Serif" w:hAnsi="Times New Roman;Times;Serif"/>
            <w:b w:val="false"/>
            <w:i w:val="false"/>
            <w:caps w:val="false"/>
            <w:smallCaps w:val="false"/>
            <w:sz w:val="20"/>
          </w:rPr>
          <w:t>333-286705</w:t>
        </w:r>
      </w:hyperlink>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val="false"/>
          <w:dstrike w:val="false"/>
          <w:sz w:val="20"/>
          <w:u w:val="none"/>
          <w:effect w:val="none"/>
        </w:rPr>
        <w:t>Form S-8</w:t>
      </w:r>
      <w:r>
        <w:rPr>
          <w:rFonts w:ascii="Times New Roman;Times;Serif" w:hAnsi="Times New Roman;Times;Serif"/>
          <w:b w:val="false"/>
          <w:i w:val="false"/>
          <w:caps w:val="false"/>
          <w:smallCaps w:val="false"/>
          <w:sz w:val="20"/>
        </w:rPr>
        <w:t xml:space="preserve"> (File Nos. </w:t>
      </w:r>
      <w:hyperlink r:id="rId4">
        <w:r>
          <w:rPr>
            <w:rStyle w:val="InternetLink"/>
            <w:rFonts w:ascii="Times New Roman;Times;Serif" w:hAnsi="Times New Roman;Times;Serif"/>
            <w:b w:val="false"/>
            <w:i w:val="false"/>
            <w:caps w:val="false"/>
            <w:smallCaps w:val="false"/>
            <w:sz w:val="20"/>
          </w:rPr>
          <w:t>333-283532</w:t>
        </w:r>
      </w:hyperlink>
      <w:r>
        <w:rPr>
          <w:rFonts w:ascii="Times New Roman;Times;Serif" w:hAnsi="Times New Roman;Times;Serif"/>
          <w:b w:val="false"/>
          <w:i w:val="false"/>
          <w:caps w:val="false"/>
          <w:smallCaps w:val="false"/>
          <w:sz w:val="20"/>
        </w:rPr>
        <w:t xml:space="preserve">, </w:t>
      </w:r>
      <w:hyperlink r:id="rId5">
        <w:r>
          <w:rPr>
            <w:rStyle w:val="InternetLink"/>
            <w:rFonts w:ascii="Times New Roman;Times;Serif" w:hAnsi="Times New Roman;Times;Serif"/>
            <w:b w:val="false"/>
            <w:i w:val="false"/>
            <w:caps w:val="false"/>
            <w:smallCaps w:val="false"/>
            <w:sz w:val="20"/>
          </w:rPr>
          <w:t>333-284540</w:t>
        </w:r>
      </w:hyperlink>
      <w:r>
        <w:rPr>
          <w:rFonts w:ascii="Times New Roman;Times;Serif" w:hAnsi="Times New Roman;Times;Serif"/>
          <w:b w:val="false"/>
          <w:i w:val="false"/>
          <w:caps w:val="false"/>
          <w:smallCaps w:val="false"/>
          <w:sz w:val="20"/>
        </w:rPr>
        <w:t xml:space="preserve">, and </w:t>
      </w:r>
      <w:hyperlink r:id="rId6">
        <w:r>
          <w:rPr>
            <w:rStyle w:val="InternetLink"/>
            <w:rFonts w:ascii="Times New Roman;Times;Serif" w:hAnsi="Times New Roman;Times;Serif"/>
            <w:b w:val="false"/>
            <w:i w:val="false"/>
            <w:caps w:val="false"/>
            <w:smallCaps w:val="false"/>
            <w:sz w:val="20"/>
          </w:rPr>
          <w:t>333-283532</w:t>
        </w:r>
      </w:hyperlink>
      <w:r>
        <w:rPr>
          <w:rFonts w:ascii="Times New Roman;Times;Serif" w:hAnsi="Times New Roman;Times;Serif"/>
          <w:b w:val="false"/>
          <w:i w:val="false"/>
          <w:caps w:val="false"/>
          <w:smallCaps w:val="false"/>
          <w:sz w:val="20"/>
        </w:rPr>
        <w:t>) and into each prospectus outstanding under the foregoing registration statements, to the extent not superseded by documents or reports subsequently filed or furnished by the Company under the Securities Exchange Act of 1934,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1</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8875" w:type="dxa"/>
        <w:jc w:val="left"/>
        <w:tblInd w:w="0" w:type="dxa"/>
        <w:tblLayout w:type="fixed"/>
        <w:tblCellMar>
          <w:top w:w="0" w:type="dxa"/>
          <w:left w:w="0" w:type="dxa"/>
          <w:bottom w:w="28" w:type="dxa"/>
          <w:right w:w="0" w:type="dxa"/>
        </w:tblCellMar>
      </w:tblPr>
      <w:tblGrid>
        <w:gridCol w:w="995"/>
        <w:gridCol w:w="60"/>
        <w:gridCol w:w="7820"/>
      </w:tblGrid>
      <w:tr>
        <w:trPr/>
        <w:tc>
          <w:tcPr>
            <w:tcW w:w="995" w:type="dxa"/>
            <w:tcBorders>
              <w:bottom w:val="single" w:sz="8"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7820" w:type="dxa"/>
            <w:tcBorders>
              <w:bottom w:val="single" w:sz="8" w:space="0" w:color="000000"/>
            </w:tcBorders>
            <w:vAlign w:val="center"/>
          </w:tcPr>
          <w:p>
            <w:pPr>
              <w:pStyle w:val="TableContents"/>
              <w:bidi w:val="0"/>
              <w:spacing w:before="0" w:after="283"/>
              <w:jc w:val="left"/>
              <w:rPr>
                <w:b/>
                <w:sz w:val="20"/>
              </w:rPr>
            </w:pPr>
            <w:r>
              <w:rPr>
                <w:b/>
                <w:sz w:val="20"/>
              </w:rPr>
              <w:t>Description</w:t>
            </w:r>
          </w:p>
        </w:tc>
      </w:tr>
      <w:tr>
        <w:trPr/>
        <w:tc>
          <w:tcPr>
            <w:tcW w:w="995" w:type="dxa"/>
            <w:tcBorders/>
            <w:tcMar>
              <w:bottom w:w="0" w:type="dxa"/>
            </w:tcMar>
            <w:vAlign w:val="center"/>
          </w:tcPr>
          <w:p>
            <w:pPr>
              <w:pStyle w:val="TableContents"/>
              <w:bidi w:val="0"/>
              <w:spacing w:before="0" w:after="283"/>
              <w:jc w:val="left"/>
              <w:rPr>
                <w:sz w:val="20"/>
              </w:rPr>
            </w:pPr>
            <w:r>
              <w:rPr>
                <w:sz w:val="20"/>
              </w:rPr>
              <w:t>10.1</w:t>
            </w:r>
          </w:p>
        </w:tc>
        <w:tc>
          <w:tcPr>
            <w:tcW w:w="60" w:type="dxa"/>
            <w:tcBorders/>
            <w:tcMar>
              <w:bottom w:w="0" w:type="dxa"/>
            </w:tcMar>
            <w:vAlign w:val="center"/>
          </w:tcPr>
          <w:p>
            <w:pPr>
              <w:pStyle w:val="TableContents"/>
              <w:bidi w:val="0"/>
              <w:spacing w:before="0" w:after="283"/>
              <w:jc w:val="left"/>
              <w:rPr/>
            </w:pPr>
            <w:r>
              <w:rPr/>
              <w:t> </w:t>
            </w:r>
          </w:p>
        </w:tc>
        <w:tc>
          <w:tcPr>
            <w:tcW w:w="7820" w:type="dxa"/>
            <w:tcBorders/>
            <w:tcMar>
              <w:bottom w:w="0" w:type="dxa"/>
            </w:tcMar>
            <w:vAlign w:val="center"/>
          </w:tcPr>
          <w:p>
            <w:pPr>
              <w:pStyle w:val="TableContents"/>
              <w:bidi w:val="0"/>
              <w:spacing w:before="0" w:after="283"/>
              <w:jc w:val="left"/>
              <w:rPr/>
            </w:pPr>
            <w:hyperlink w:anchor="yyforceex10-1.htm">
              <w:r>
                <w:rPr>
                  <w:rStyle w:val="InternetLink"/>
                  <w:sz w:val="20"/>
                </w:rPr>
                <w:t>Employment Agreement between the Company and Andrew Davison, dated September 14, 2026</w:t>
              </w:r>
            </w:hyperlink>
          </w:p>
        </w:tc>
      </w:tr>
      <w:tr>
        <w:trPr/>
        <w:tc>
          <w:tcPr>
            <w:tcW w:w="995" w:type="dxa"/>
            <w:tcBorders/>
            <w:tcMar>
              <w:bottom w:w="0" w:type="dxa"/>
            </w:tcMar>
            <w:vAlign w:val="center"/>
          </w:tcPr>
          <w:p>
            <w:pPr>
              <w:pStyle w:val="TableContents"/>
              <w:bidi w:val="0"/>
              <w:spacing w:before="0" w:after="283"/>
              <w:jc w:val="left"/>
              <w:rPr>
                <w:sz w:val="20"/>
              </w:rPr>
            </w:pPr>
            <w:r>
              <w:rPr>
                <w:sz w:val="20"/>
              </w:rPr>
              <w:t xml:space="preserve">99.1 </w:t>
            </w:r>
          </w:p>
        </w:tc>
        <w:tc>
          <w:tcPr>
            <w:tcW w:w="60" w:type="dxa"/>
            <w:tcBorders/>
            <w:tcMar>
              <w:bottom w:w="0" w:type="dxa"/>
            </w:tcMar>
            <w:vAlign w:val="center"/>
          </w:tcPr>
          <w:p>
            <w:pPr>
              <w:pStyle w:val="TableContents"/>
              <w:bidi w:val="0"/>
              <w:spacing w:before="0" w:after="283"/>
              <w:jc w:val="left"/>
              <w:rPr/>
            </w:pPr>
            <w:r>
              <w:rPr/>
              <w:t> </w:t>
            </w:r>
          </w:p>
        </w:tc>
        <w:tc>
          <w:tcPr>
            <w:tcW w:w="7820" w:type="dxa"/>
            <w:tcBorders/>
            <w:tcMar>
              <w:bottom w:w="0" w:type="dxa"/>
            </w:tcMar>
            <w:vAlign w:val="center"/>
          </w:tcPr>
          <w:p>
            <w:pPr>
              <w:pStyle w:val="TableContents"/>
              <w:bidi w:val="0"/>
              <w:spacing w:before="0" w:after="283"/>
              <w:jc w:val="both"/>
              <w:rPr/>
            </w:pPr>
            <w:hyperlink w:anchor="yyforceex99-1.htm">
              <w:r>
                <w:rPr>
                  <w:rStyle w:val="InternetLink"/>
                  <w:sz w:val="20"/>
                </w:rPr>
                <w:t>Press Release dated September 9,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2</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caps w:val="false"/>
          <w:smallCaps w:val="false"/>
        </w:rPr>
      </w:pPr>
      <w:r>
        <w:rPr>
          <w:caps w:val="false"/>
          <w:smallCaps w:val="false"/>
        </w:rPr>
        <w:t> </w:t>
      </w:r>
    </w:p>
    <w:tbl>
      <w:tblPr>
        <w:tblW w:w="6660" w:type="dxa"/>
        <w:jc w:val="left"/>
        <w:tblInd w:w="0" w:type="dxa"/>
        <w:tblLayout w:type="fixed"/>
        <w:tblCellMar>
          <w:top w:w="0" w:type="dxa"/>
          <w:left w:w="0" w:type="dxa"/>
          <w:bottom w:w="0" w:type="dxa"/>
          <w:right w:w="0" w:type="dxa"/>
        </w:tblCellMar>
      </w:tblPr>
      <w:tblGrid>
        <w:gridCol w:w="2135"/>
        <w:gridCol w:w="635"/>
        <w:gridCol w:w="3890"/>
      </w:tblGrid>
      <w:tr>
        <w:trPr/>
        <w:tc>
          <w:tcPr>
            <w:tcW w:w="2135" w:type="dxa"/>
            <w:tcBorders/>
            <w:vAlign w:val="center"/>
          </w:tcPr>
          <w:p>
            <w:pPr>
              <w:pStyle w:val="TableContents"/>
              <w:bidi w:val="0"/>
              <w:spacing w:before="0" w:after="283"/>
              <w:jc w:val="left"/>
              <w:rPr/>
            </w:pPr>
            <w:r>
              <w:rPr/>
              <w:t> </w:t>
            </w:r>
          </w:p>
        </w:tc>
        <w:tc>
          <w:tcPr>
            <w:tcW w:w="4525" w:type="dxa"/>
            <w:gridSpan w:val="2"/>
            <w:tcBorders/>
            <w:vAlign w:val="center"/>
          </w:tcPr>
          <w:p>
            <w:pPr>
              <w:pStyle w:val="TableContents"/>
              <w:bidi w:val="0"/>
              <w:spacing w:before="0" w:after="283"/>
              <w:jc w:val="left"/>
              <w:rPr>
                <w:b/>
                <w:sz w:val="20"/>
              </w:rPr>
            </w:pPr>
            <w:r>
              <w:rPr>
                <w:b/>
                <w:sz w:val="20"/>
              </w:rPr>
              <w:t>YYForce Inc.</w:t>
            </w:r>
          </w:p>
        </w:tc>
      </w:tr>
      <w:tr>
        <w:trPr/>
        <w:tc>
          <w:tcPr>
            <w:tcW w:w="213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sz w:val="20"/>
              </w:rPr>
            </w:pPr>
            <w:r>
              <w:rPr>
                <w:sz w:val="20"/>
              </w:rPr>
              <w:t>Date: September 14, 2026</w:t>
            </w:r>
          </w:p>
        </w:tc>
        <w:tc>
          <w:tcPr>
            <w:tcW w:w="635" w:type="dxa"/>
            <w:tcBorders/>
            <w:vAlign w:val="center"/>
          </w:tcPr>
          <w:p>
            <w:pPr>
              <w:pStyle w:val="TableContents"/>
              <w:bidi w:val="0"/>
              <w:spacing w:before="0" w:after="283"/>
              <w:jc w:val="left"/>
              <w:rPr>
                <w:sz w:val="20"/>
              </w:rPr>
            </w:pPr>
            <w:r>
              <w:rPr>
                <w:sz w:val="20"/>
              </w:rPr>
              <w:t>By:</w:t>
            </w:r>
          </w:p>
        </w:tc>
        <w:tc>
          <w:tcPr>
            <w:tcW w:w="3890"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Fu Xiaowei</w:t>
            </w:r>
          </w:p>
        </w:tc>
      </w:tr>
      <w:tr>
        <w:trPr/>
        <w:tc>
          <w:tcPr>
            <w:tcW w:w="213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 xml:space="preserve">Name:  </w:t>
            </w:r>
          </w:p>
        </w:tc>
        <w:tc>
          <w:tcPr>
            <w:tcW w:w="3890" w:type="dxa"/>
            <w:tcBorders/>
            <w:vAlign w:val="center"/>
          </w:tcPr>
          <w:p>
            <w:pPr>
              <w:pStyle w:val="TableContents"/>
              <w:bidi w:val="0"/>
              <w:spacing w:before="0" w:after="283"/>
              <w:jc w:val="left"/>
              <w:rPr>
                <w:sz w:val="20"/>
              </w:rPr>
            </w:pPr>
            <w:r>
              <w:rPr>
                <w:sz w:val="20"/>
              </w:rPr>
              <w:t>Fu Xiaowei</w:t>
            </w:r>
          </w:p>
        </w:tc>
      </w:tr>
      <w:tr>
        <w:trPr/>
        <w:tc>
          <w:tcPr>
            <w:tcW w:w="213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Title:</w:t>
            </w:r>
          </w:p>
        </w:tc>
        <w:tc>
          <w:tcPr>
            <w:tcW w:w="3890" w:type="dxa"/>
            <w:tcBorders/>
            <w:vAlign w:val="center"/>
          </w:tcPr>
          <w:p>
            <w:pPr>
              <w:pStyle w:val="TableContents"/>
              <w:bidi w:val="0"/>
              <w:spacing w:before="0" w:after="283"/>
              <w:jc w:val="left"/>
              <w:rPr>
                <w:sz w:val="20"/>
              </w:rPr>
            </w:pPr>
            <w:r>
              <w:rPr>
                <w:sz w:val="20"/>
              </w:rPr>
              <w:t>Chief Executive Officer, Chairman and Director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3</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right"/>
        <w:rPr>
          <w:b/>
        </w:rPr>
      </w:pPr>
      <w:bookmarkStart w:id="2" w:name="yyforceex10-1.htm"/>
      <w:bookmarkStart w:id="3" w:name="ksyyforceex101"/>
      <w:bookmarkEnd w:id="2"/>
      <w:bookmarkEnd w:id="3"/>
      <w:r>
        <w:rPr>
          <w:b/>
        </w:rPr>
        <w:t>Exhibit 10.1</w:t>
      </w:r>
      <w:r>
        <w:br w:type="page"/>
      </w:r>
    </w:p>
    <w:p>
      <w:pPr>
        <w:pStyle w:val="TextBody"/>
        <w:bidi w:val="0"/>
        <w:spacing w:before="0" w:after="0"/>
        <w:ind w:left="0" w:right="0" w:hanging="0"/>
        <w:jc w:val="left"/>
        <w:rPr>
          <w:caps w:val="false"/>
          <w:smallCaps w:val="false"/>
        </w:rPr>
      </w:pPr>
      <w:r>
        <w:rPr>
          <w:caps w:val="false"/>
          <w:smallCaps w:val="false"/>
        </w:rPr>
        <w:t> </w:t>
      </w:r>
    </w:p>
    <w:tbl>
      <w:tblPr>
        <w:tblW w:w="7355" w:type="dxa"/>
        <w:jc w:val="left"/>
        <w:tblInd w:w="0" w:type="dxa"/>
        <w:tblLayout w:type="fixed"/>
        <w:tblCellMar>
          <w:top w:w="0" w:type="dxa"/>
          <w:left w:w="0" w:type="dxa"/>
          <w:bottom w:w="0" w:type="dxa"/>
          <w:right w:w="0" w:type="dxa"/>
        </w:tblCellMar>
      </w:tblPr>
      <w:tblGrid>
        <w:gridCol w:w="4170"/>
        <w:gridCol w:w="60"/>
        <w:gridCol w:w="3125"/>
      </w:tblGrid>
      <w:tr>
        <w:trPr/>
        <w:tc>
          <w:tcPr>
            <w:tcW w:w="4170" w:type="dxa"/>
            <w:tcBorders/>
            <w:vAlign w:val="center"/>
          </w:tcPr>
          <w:p>
            <w:pPr>
              <w:pStyle w:val="TableContents"/>
              <w:bidi w:val="0"/>
              <w:spacing w:before="0" w:after="283"/>
              <w:jc w:val="left"/>
              <w:rPr/>
            </w:pPr>
            <w:r>
              <w:rPr/>
              <w:drawing>
                <wp:inline distT="0" distB="0" distL="0" distR="0">
                  <wp:extent cx="2638425"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7"/>
                          <a:stretch>
                            <a:fillRect/>
                          </a:stretch>
                        </pic:blipFill>
                        <pic:spPr bwMode="auto">
                          <a:xfrm>
                            <a:off x="0" y="0"/>
                            <a:ext cx="2638425" cy="542925"/>
                          </a:xfrm>
                          <a:prstGeom prst="rect">
                            <a:avLst/>
                          </a:prstGeom>
                        </pic:spPr>
                      </pic:pic>
                    </a:graphicData>
                  </a:graphic>
                </wp:inline>
              </w:drawing>
            </w:r>
          </w:p>
        </w:tc>
        <w:tc>
          <w:tcPr>
            <w:tcW w:w="60" w:type="dxa"/>
            <w:tcBorders/>
            <w:vAlign w:val="center"/>
          </w:tcPr>
          <w:p>
            <w:pPr>
              <w:pStyle w:val="TableContents"/>
              <w:bidi w:val="0"/>
              <w:spacing w:before="0" w:after="283"/>
              <w:jc w:val="center"/>
              <w:rPr/>
            </w:pPr>
            <w:r>
              <w:rPr/>
              <w:t> </w:t>
            </w:r>
          </w:p>
        </w:tc>
        <w:tc>
          <w:tcPr>
            <w:tcW w:w="3125" w:type="dxa"/>
            <w:tcBorders/>
            <w:vAlign w:val="center"/>
          </w:tcPr>
          <w:p>
            <w:pPr>
              <w:pStyle w:val="TableContents"/>
              <w:bidi w:val="0"/>
              <w:spacing w:lineRule="atLeast" w:line="207"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YYForce </w:t>
            </w:r>
            <w:r>
              <w:rPr>
                <w:rFonts w:ascii="Times New Roman;Times;Serif" w:hAnsi="Times New Roman;Times;Serif"/>
                <w:b/>
                <w:i w:val="false"/>
                <w:caps w:val="false"/>
                <w:smallCaps w:val="false"/>
                <w:spacing w:val="-4"/>
                <w:sz w:val="20"/>
              </w:rPr>
              <w:t>Inc.</w:t>
            </w:r>
          </w:p>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 Paya Lebar Road, #09-13</w:t>
            </w:r>
          </w:p>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Paya Lebar Square, Singapore 409051</w:t>
            </w:r>
          </w:p>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6604 6896 Fax: 6604 6807</w:t>
            </w:r>
          </w:p>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pacing w:val="-2"/>
                <w:sz w:val="20"/>
              </w:rPr>
              <w:t>Enquires@yyforce.ai</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EMPLOYMENT </w:t>
      </w:r>
      <w:r>
        <w:rPr>
          <w:rFonts w:ascii="Times New Roman;Times;Serif" w:hAnsi="Times New Roman;Times;Serif"/>
          <w:b/>
          <w:i w:val="false"/>
          <w:caps w:val="false"/>
          <w:smallCaps w:val="false"/>
          <w:spacing w:val="-2"/>
          <w:sz w:val="20"/>
        </w:rPr>
        <w:t>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Employment Agreement (the “Agreement”) is made and entered into on </w:t>
      </w:r>
      <w:r>
        <w:rPr>
          <w:rFonts w:ascii="Times New Roman;Times;Serif" w:hAnsi="Times New Roman;Times;Serif"/>
          <w:b/>
          <w:i w:val="false"/>
          <w:caps w:val="false"/>
          <w:smallCaps w:val="false"/>
          <w:sz w:val="20"/>
        </w:rPr>
        <w:t xml:space="preserve">14 September 2026 </w:t>
      </w:r>
      <w:r>
        <w:rPr>
          <w:rFonts w:ascii="Times New Roman;Times;Serif" w:hAnsi="Times New Roman;Times;Serif"/>
          <w:b w:val="false"/>
          <w:i w:val="false"/>
          <w:caps w:val="false"/>
          <w:smallCaps w:val="false"/>
          <w:sz w:val="20"/>
        </w:rPr>
        <w:t xml:space="preserve">by and between </w:t>
      </w:r>
      <w:r>
        <w:rPr>
          <w:rFonts w:ascii="Times New Roman;Times;Serif" w:hAnsi="Times New Roman;Times;Serif"/>
          <w:b/>
          <w:i w:val="false"/>
          <w:caps w:val="false"/>
          <w:smallCaps w:val="false"/>
          <w:sz w:val="20"/>
        </w:rPr>
        <w:t xml:space="preserve">Davison Andrew Gordon </w:t>
      </w:r>
      <w:r>
        <w:rPr>
          <w:rFonts w:ascii="Times New Roman;Times;Serif" w:hAnsi="Times New Roman;Times;Serif"/>
          <w:b w:val="false"/>
          <w:i w:val="false"/>
          <w:caps w:val="false"/>
          <w:smallCaps w:val="false"/>
          <w:sz w:val="20"/>
        </w:rPr>
        <w:t xml:space="preserve">(the “Executive”) and YYForce Inc., a British Virgin Islands company (the </w:t>
      </w:r>
      <w:r>
        <w:rPr>
          <w:rFonts w:ascii="Times New Roman;Times;Serif" w:hAnsi="Times New Roman;Times;Serif"/>
          <w:b w:val="false"/>
          <w:i w:val="false"/>
          <w:caps w:val="false"/>
          <w:smallCaps w:val="false"/>
          <w:spacing w:val="-2"/>
          <w:sz w:val="20"/>
        </w:rPr>
        <w:t>“Company”).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the Executive has been the </w:t>
      </w:r>
      <w:r>
        <w:rPr>
          <w:rFonts w:ascii="Times New Roman;Times;Serif" w:hAnsi="Times New Roman;Times;Serif"/>
          <w:b/>
          <w:i w:val="false"/>
          <w:caps w:val="false"/>
          <w:smallCaps w:val="false"/>
          <w:sz w:val="20"/>
        </w:rPr>
        <w:t>Group Chief Strategy Officer</w:t>
      </w:r>
      <w:r>
        <w:rPr>
          <w:rFonts w:ascii="Times New Roman;Times;Serif" w:hAnsi="Times New Roman;Times;Serif"/>
          <w:b w:val="false"/>
          <w:i w:val="false"/>
          <w:caps w:val="false"/>
          <w:smallCaps w:val="false"/>
          <w:sz w:val="20"/>
        </w:rPr>
        <w:t xml:space="preserve"> of the Company since </w:t>
      </w:r>
      <w:r>
        <w:rPr>
          <w:rFonts w:ascii="Times New Roman;Times;Serif" w:hAnsi="Times New Roman;Times;Serif"/>
          <w:b/>
          <w:i w:val="false"/>
          <w:caps w:val="false"/>
          <w:smallCaps w:val="false"/>
          <w:sz w:val="20"/>
        </w:rPr>
        <w:t xml:space="preserve">14 September 2026 </w:t>
      </w:r>
      <w:r>
        <w:rPr>
          <w:rFonts w:ascii="Times New Roman;Times;Serif" w:hAnsi="Times New Roman;Times;Serif"/>
          <w:b w:val="false"/>
          <w:i w:val="false"/>
          <w:caps w:val="false"/>
          <w:smallCaps w:val="false"/>
          <w:sz w:val="20"/>
        </w:rPr>
        <w:t>(the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and the Executive desire to enter into this Agreement to memorialize the terms and conditions of the Executive’s employment with the Company starting on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the mutual covenants and representations contained herein, and for other good and valuable consideration, the receipt and sufficiency of which is hereby acknowledged, the parties hereto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 xml:space="preserve">Article </w:t>
      </w:r>
      <w:r>
        <w:rPr>
          <w:rFonts w:ascii="Times New Roman;Times;Serif" w:hAnsi="Times New Roman;Times;Serif"/>
          <w:b/>
          <w:i w:val="false"/>
          <w:caps w:val="false"/>
          <w:smallCaps w:val="false"/>
          <w:spacing w:val="-5"/>
          <w:sz w:val="20"/>
          <w:u w:val="single"/>
        </w:rPr>
        <w:t>I.</w:t>
      </w:r>
      <w:r>
        <w:rPr>
          <w:rFonts w:ascii="Times New Roman;Times;Serif" w:hAnsi="Times New Roman;Times;Serif"/>
          <w:b/>
          <w:i w:val="false"/>
          <w:caps w:val="false"/>
          <w:smallCaps w:val="false"/>
          <w:sz w:val="20"/>
        </w:rPr>
        <w:tab/>
      </w:r>
      <w:r>
        <w:rPr>
          <w:rFonts w:ascii="Times New Roman;Times;Serif" w:hAnsi="Times New Roman;Times;Serif"/>
          <w:b/>
          <w:i w:val="false"/>
          <w:caps w:val="false"/>
          <w:smallCaps w:val="false"/>
          <w:spacing w:val="-2"/>
          <w:sz w:val="20"/>
          <w:u w:val="single"/>
        </w:rPr>
        <w:t>Employment; Responsibilities;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1.01 Employment</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the Company hereby agrees to employ Executive, and Executive hereby agrees to be employed by the Company, in accordance with this Agreement, for the period commencing as of the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Executive shall be subject to a </w:t>
      </w:r>
      <w:r>
        <w:rPr>
          <w:rFonts w:ascii="Times New Roman;Times;Serif" w:hAnsi="Times New Roman;Times;Serif"/>
          <w:b/>
          <w:i w:val="false"/>
          <w:caps w:val="false"/>
          <w:smallCaps w:val="false"/>
          <w:sz w:val="20"/>
        </w:rPr>
        <w:t xml:space="preserve">probation period of six (6) months </w:t>
      </w:r>
      <w:r>
        <w:rPr>
          <w:rFonts w:ascii="Times New Roman;Times;Serif" w:hAnsi="Times New Roman;Times;Serif"/>
          <w:b w:val="false"/>
          <w:i w:val="false"/>
          <w:caps w:val="false"/>
          <w:smallCaps w:val="false"/>
          <w:sz w:val="20"/>
        </w:rPr>
        <w:t>commencing from the Effective Date. Upon successful completion of the probation period, the Executive's employment shall continue unless terminated in accordance with the provisions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1.02 Responsibilities; </w:t>
      </w:r>
      <w:r>
        <w:rPr>
          <w:rFonts w:ascii="Times New Roman;Times;Serif" w:hAnsi="Times New Roman;Times;Serif"/>
          <w:b/>
          <w:i w:val="false"/>
          <w:caps w:val="false"/>
          <w:smallCaps w:val="false"/>
          <w:spacing w:val="-2"/>
          <w:sz w:val="20"/>
        </w:rPr>
        <w:t>Loyalty</w:t>
      </w:r>
    </w:p>
    <w:p>
      <w:pPr>
        <w:pStyle w:val="TextBody"/>
        <w:bidi w:val="0"/>
        <w:spacing w:before="0" w:after="0"/>
        <w:ind w:left="0" w:right="0" w:firstLine="9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the terms of this Agreement, Executive is employed in the position of </w:t>
      </w:r>
      <w:r>
        <w:rPr>
          <w:rFonts w:ascii="Times New Roman;Times;Serif" w:hAnsi="Times New Roman;Times;Serif"/>
          <w:b/>
          <w:i w:val="false"/>
          <w:caps w:val="false"/>
          <w:smallCaps w:val="false"/>
          <w:sz w:val="20"/>
        </w:rPr>
        <w:t xml:space="preserve">Group Chief Strategy Officer </w:t>
      </w:r>
      <w:r>
        <w:rPr>
          <w:rFonts w:ascii="Times New Roman;Times;Serif" w:hAnsi="Times New Roman;Times;Serif"/>
          <w:b w:val="false"/>
          <w:i w:val="false"/>
          <w:caps w:val="false"/>
          <w:smallCaps w:val="false"/>
          <w:sz w:val="20"/>
        </w:rPr>
        <w:t>of the Company, and shall perform the functions and responsibilities of that position. Additional or different duties may be assigned by the Company from time to time. Executive’s position, job descriptions, duties and responsibilities maybe modified from time to time in the sole discretion of the Company.</w:t>
      </w:r>
    </w:p>
    <w:p>
      <w:pPr>
        <w:pStyle w:val="TextBody"/>
        <w:bidi w:val="0"/>
        <w:spacing w:before="0" w:after="0"/>
        <w:ind w:left="0" w:right="0" w:firstLine="9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Executive shall devote the whole of Executive’s professional time, attention and energies to the performance of Executive’s work. Executive agrees to comply with all policies of the Company, if any, in effect from time to time, and to comply with all laws, rules and regulations, including those applicable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1.03 Compensation</w:t>
      </w:r>
      <w:r>
        <w:rPr>
          <w:rFonts w:ascii="Times New Roman;Times;Serif" w:hAnsi="Times New Roman;Times;Serif"/>
          <w:b w:val="false"/>
          <w:i w:val="false"/>
          <w:caps w:val="false"/>
          <w:smallCaps w:val="false"/>
          <w:sz w:val="20"/>
        </w:rPr>
        <w:t xml:space="preserve">. The Company will pay Employee an annual base salary at a rate of </w:t>
      </w:r>
      <w:r>
        <w:rPr>
          <w:rFonts w:ascii="Times New Roman;Times;Serif" w:hAnsi="Times New Roman;Times;Serif"/>
          <w:b/>
          <w:i w:val="false"/>
          <w:caps w:val="false"/>
          <w:smallCaps w:val="false"/>
          <w:sz w:val="20"/>
        </w:rPr>
        <w:t>SGD$156,000</w:t>
      </w:r>
      <w:r>
        <w:rPr>
          <w:rFonts w:ascii="Times New Roman;Times;Serif" w:hAnsi="Times New Roman;Times;Serif"/>
          <w:b w:val="false"/>
          <w:i w:val="false"/>
          <w:caps w:val="false"/>
          <w:smallCaps w:val="false"/>
          <w:sz w:val="20"/>
        </w:rPr>
        <w:t xml:space="preserve"> per annum (the “Base Salary”), payable in accordance with the Company’s regular payroll policy for salaried employees. If the Employment Period is terminated “For Cause” pursuant to Article III hereof or is otherwise shorter than a full contract year, then the Base Salary for any partial year will be prorated and paid through the date of termination based on the number of days elapsed in such year during which services were actually performed by Employee, and the Company shall have no further </w:t>
      </w:r>
      <w:r>
        <w:rPr>
          <w:rFonts w:ascii="Times New Roman;Times;Serif" w:hAnsi="Times New Roman;Times;Serif"/>
          <w:b w:val="false"/>
          <w:i w:val="false"/>
          <w:caps w:val="false"/>
          <w:smallCaps w:val="false"/>
          <w:spacing w:val="-2"/>
          <w:sz w:val="20"/>
        </w:rPr>
        <w:t xml:space="preserve">obligation to pay the Employee’s Base Salary following the date of termination. Notwithstanding anything </w:t>
      </w:r>
      <w:r>
        <w:rPr>
          <w:rFonts w:ascii="Times New Roman;Times;Serif" w:hAnsi="Times New Roman;Times;Serif"/>
          <w:b w:val="false"/>
          <w:i w:val="false"/>
          <w:caps w:val="false"/>
          <w:smallCaps w:val="false"/>
          <w:sz w:val="20"/>
        </w:rPr>
        <w:t xml:space="preserve">herein to the contrary, the Company shall not be obligated to pay Employee the Base Salary during any period in which Employee has exhausted Employee’s paid time off and is either (a) receiving short-term or long-term disability benefits under any policy or program maintained by the Company, (b) on family or medical leave, or (c) is unable to perform Employee’s essential job duties by reason of a physical or Family mental incapacity or disability with or without a reasonable accommodation. </w:t>
      </w:r>
      <w:r>
        <w:rPr>
          <w:rFonts w:ascii="Times New Roman;Times;Serif" w:hAnsi="Times New Roman;Times;Serif"/>
          <w:b/>
          <w:i w:val="false"/>
          <w:caps w:val="false"/>
          <w:smallCaps w:val="false"/>
          <w:sz w:val="20"/>
        </w:rPr>
        <w:t xml:space="preserve">The Compensation shall also be subject to the approval of Company’s Board of Directors and/or Compensation </w:t>
      </w:r>
      <w:r>
        <w:rPr>
          <w:rFonts w:ascii="Times New Roman;Times;Serif" w:hAnsi="Times New Roman;Times;Serif"/>
          <w:b/>
          <w:i w:val="false"/>
          <w:caps w:val="false"/>
          <w:smallCaps w:val="false"/>
          <w:spacing w:val="-2"/>
          <w:sz w:val="20"/>
        </w:rPr>
        <w:t>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tbl>
      <w:tblPr>
        <w:tblW w:w="7355" w:type="dxa"/>
        <w:jc w:val="left"/>
        <w:tblInd w:w="0" w:type="dxa"/>
        <w:tblLayout w:type="fixed"/>
        <w:tblCellMar>
          <w:top w:w="0" w:type="dxa"/>
          <w:left w:w="0" w:type="dxa"/>
          <w:bottom w:w="0" w:type="dxa"/>
          <w:right w:w="0" w:type="dxa"/>
        </w:tblCellMar>
      </w:tblPr>
      <w:tblGrid>
        <w:gridCol w:w="4170"/>
        <w:gridCol w:w="60"/>
        <w:gridCol w:w="3125"/>
      </w:tblGrid>
      <w:tr>
        <w:trPr/>
        <w:tc>
          <w:tcPr>
            <w:tcW w:w="4170" w:type="dxa"/>
            <w:tcBorders/>
            <w:vAlign w:val="center"/>
          </w:tcPr>
          <w:p>
            <w:pPr>
              <w:pStyle w:val="TableContents"/>
              <w:bidi w:val="0"/>
              <w:spacing w:before="0" w:after="283"/>
              <w:jc w:val="left"/>
              <w:rPr/>
            </w:pPr>
            <w:r>
              <w:rPr/>
              <w:drawing>
                <wp:inline distT="0" distB="0" distL="0" distR="0">
                  <wp:extent cx="2638425" cy="5429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8"/>
                          <a:stretch>
                            <a:fillRect/>
                          </a:stretch>
                        </pic:blipFill>
                        <pic:spPr bwMode="auto">
                          <a:xfrm>
                            <a:off x="0" y="0"/>
                            <a:ext cx="2638425" cy="542925"/>
                          </a:xfrm>
                          <a:prstGeom prst="rect">
                            <a:avLst/>
                          </a:prstGeom>
                        </pic:spPr>
                      </pic:pic>
                    </a:graphicData>
                  </a:graphic>
                </wp:inline>
              </w:drawing>
            </w:r>
          </w:p>
        </w:tc>
        <w:tc>
          <w:tcPr>
            <w:tcW w:w="60" w:type="dxa"/>
            <w:tcBorders/>
            <w:vAlign w:val="center"/>
          </w:tcPr>
          <w:p>
            <w:pPr>
              <w:pStyle w:val="TableContents"/>
              <w:bidi w:val="0"/>
              <w:spacing w:before="0" w:after="283"/>
              <w:jc w:val="center"/>
              <w:rPr/>
            </w:pPr>
            <w:r>
              <w:rPr/>
              <w:t> </w:t>
            </w:r>
          </w:p>
        </w:tc>
        <w:tc>
          <w:tcPr>
            <w:tcW w:w="3125" w:type="dxa"/>
            <w:tcBorders/>
            <w:vAlign w:val="center"/>
          </w:tcPr>
          <w:p>
            <w:pPr>
              <w:pStyle w:val="TableContents"/>
              <w:bidi w:val="0"/>
              <w:spacing w:lineRule="atLeast" w:line="207"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YYForce </w:t>
            </w:r>
            <w:r>
              <w:rPr>
                <w:rFonts w:ascii="Times New Roman;Times;Serif" w:hAnsi="Times New Roman;Times;Serif"/>
                <w:b/>
                <w:i w:val="false"/>
                <w:caps w:val="false"/>
                <w:smallCaps w:val="false"/>
                <w:spacing w:val="-4"/>
                <w:sz w:val="20"/>
              </w:rPr>
              <w:t>Inc.</w:t>
            </w:r>
          </w:p>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 Paya Lebar Road, #09-13</w:t>
            </w:r>
          </w:p>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Paya Lebar Square, Singapore 409051</w:t>
            </w:r>
          </w:p>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6604 6896 Fax: 6604 6807</w:t>
            </w:r>
          </w:p>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pacing w:val="-2"/>
                <w:sz w:val="20"/>
              </w:rPr>
              <w:t>Enquires@yyforce.ai</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1.04 Business Expenses</w:t>
      </w:r>
      <w:r>
        <w:rPr>
          <w:rFonts w:ascii="Times New Roman;Times;Serif" w:hAnsi="Times New Roman;Times;Serif"/>
          <w:b w:val="false"/>
          <w:i w:val="false"/>
          <w:caps w:val="false"/>
          <w:smallCaps w:val="false"/>
          <w:sz w:val="20"/>
        </w:rPr>
        <w:t>. The Company shall reimburse Executive for all business expenses that are reasonable and necessary and incurred by Executive while performing his duties under this Agreement, upon presentation of expense statements, receipts and/or vouchers or such other information and documentation as the Company may reasonably require.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 xml:space="preserve">Article </w:t>
      </w:r>
      <w:r>
        <w:rPr>
          <w:rFonts w:ascii="Times New Roman;Times;Serif" w:hAnsi="Times New Roman;Times;Serif"/>
          <w:b/>
          <w:i w:val="false"/>
          <w:caps w:val="false"/>
          <w:smallCaps w:val="false"/>
          <w:spacing w:val="-5"/>
          <w:sz w:val="20"/>
          <w:u w:val="single"/>
        </w:rPr>
        <w:t>II.</w:t>
      </w:r>
      <w:r>
        <w:rPr>
          <w:rFonts w:ascii="Times New Roman;Times;Serif" w:hAnsi="Times New Roman;Times;Serif"/>
          <w:b/>
          <w:i w:val="false"/>
          <w:caps w:val="false"/>
          <w:smallCaps w:val="false"/>
          <w:sz w:val="20"/>
        </w:rPr>
        <w:tab/>
      </w:r>
      <w:r>
        <w:rPr>
          <w:rFonts w:ascii="Times New Roman;Times;Serif" w:hAnsi="Times New Roman;Times;Serif"/>
          <w:b/>
          <w:i w:val="false"/>
          <w:caps w:val="false"/>
          <w:smallCaps w:val="false"/>
          <w:spacing w:val="-2"/>
          <w:sz w:val="20"/>
          <w:u w:val="single"/>
        </w:rPr>
        <w:t>Confidential Information; Post-Employment Obligations; Company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2.01 Company Property. </w:t>
      </w:r>
      <w:r>
        <w:rPr>
          <w:rFonts w:ascii="Times New Roman;Times;Serif" w:hAnsi="Times New Roman;Times;Serif"/>
          <w:b w:val="false"/>
          <w:i w:val="false"/>
          <w:caps w:val="false"/>
          <w:smallCaps w:val="false"/>
          <w:sz w:val="20"/>
        </w:rPr>
        <w:t>As used in this Article II, the term the “Company” refers to the Company and each of its direct and indirect subsidiaries. All written materials, records, data and other documents relating to Company business, products or services prepared or possessed by Executive during Executive’s employment by the Company are the Company’s property. All information, ideas, concepts, improvements, discoveries and inventions that are conceived, made, developed or acquired by Executive individually or in conjunction with others during Executive’s employment (whether during business hours and whether on Company’s premises or otherwise) that relate to Company business, products or services are the Company’s sole and exclusive property. All memoranda, notes, records, files, correspondence, drawings, manuals, models, specifications, computer programs, maps and all other documents, data or materials of any type embodying such information, ideas, concepts, improvements, discoveries and inventions are Company property. At the termination of Executive’s employment with the Company for any reason, Executive shall return all of the Company’s documents, data or other Company property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2.02 Confidential Information; Non-</w:t>
      </w:r>
      <w:r>
        <w:rPr>
          <w:rFonts w:ascii="Times New Roman;Times;Serif" w:hAnsi="Times New Roman;Times;Serif"/>
          <w:b/>
          <w:i w:val="false"/>
          <w:caps w:val="false"/>
          <w:smallCaps w:val="false"/>
          <w:spacing w:val="-2"/>
          <w:sz w:val="20"/>
        </w:rPr>
        <w:t>Disclosure.</w:t>
      </w:r>
    </w:p>
    <w:p>
      <w:pPr>
        <w:pStyle w:val="TextBody"/>
        <w:bidi w:val="0"/>
        <w:spacing w:before="0" w:after="0"/>
        <w:ind w:left="0" w:right="0" w:firstLine="9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Executive acknowledges that the business of the Company is highly competitive and that the Company will provide Executive with access to Confidential Information. Executive acknowledges that this Confidential Information constitutes a valuable, special and unique asset used by the Company in its business to obtain a competitive advantage over competitors. Executive further acknowledges that protection of such Confidential Information against unauthorized disclosure and use is of critical importance to the Company in maintaining its competitive position. Executive agrees that Executive will not, at any time during or after Executive’s employment with the Company, make any unauthorized disclosure of any Confidential Information of the Company, or make any use thereof, except in the carrying out of Executive’s employment responsibilities to the Company. Executive also agrees to preserve and protect the confidentiality of third-party Confidential Information to the same extent, and on the same basis, as the Company’s Confidential Information.</w:t>
      </w:r>
    </w:p>
    <w:p>
      <w:pPr>
        <w:pStyle w:val="TextBody"/>
        <w:bidi w:val="0"/>
        <w:spacing w:before="0" w:after="0"/>
        <w:ind w:left="0" w:right="0" w:firstLine="91"/>
        <w:jc w:val="both"/>
        <w:rPr>
          <w:caps w:val="false"/>
          <w:smallCaps w:val="false"/>
        </w:rPr>
      </w:pPr>
      <w:r>
        <w:rPr>
          <w:caps w:val="false"/>
          <w:smallCaps w:val="false"/>
        </w:rPr>
        <w:t> </w:t>
      </w:r>
    </w:p>
    <w:p>
      <w:pPr>
        <w:pStyle w:val="TextBody"/>
        <w:bidi w:val="0"/>
        <w:spacing w:before="0" w:after="0"/>
        <w:ind w:left="0" w:right="0" w:firstLine="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purposes hereof, “Confidential Information” includes all non-public information regarding the Company’s business operations and methods, existing and proposed investments and investment strategies and exploratory data, financial performance, compensation arrangements and amounts (whether relating to the Company or to any of its employees), contractual relationships, business partners and relationships (including customers and suppliers), strategies, business plans and other confidential information that is used in the operation, technology and business dealings of the Company, regardless of the medium in which any of the foregoing information is contained, so long as such information is actually confidential and proprietary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2.03 Non-Competition </w:t>
      </w:r>
      <w:r>
        <w:rPr>
          <w:rFonts w:ascii="Times New Roman;Times;Serif" w:hAnsi="Times New Roman;Times;Serif"/>
          <w:b/>
          <w:i w:val="false"/>
          <w:caps w:val="false"/>
          <w:smallCaps w:val="false"/>
          <w:spacing w:val="-2"/>
          <w:sz w:val="20"/>
        </w:rPr>
        <w:t>Obligations.</w:t>
      </w:r>
    </w:p>
    <w:p>
      <w:pPr>
        <w:pStyle w:val="TextBody"/>
        <w:bidi w:val="0"/>
        <w:spacing w:before="0" w:after="0"/>
        <w:ind w:left="0" w:right="0" w:firstLine="9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Executive acknowledges and agrees that as an employee and representative of the Company, Executive will be responsible for building and maintaining business relationships and goodwill with current and future operating partners, investors, partners and prospects on a personal level. Executive acknowledges and agrees that this responsibility creates a special relationship of trust and confidence between the Company, Executive and these persons or entities. Executive also acknowledges that this creates a high risk and opportunity for Executive to misappropriate these relationships and the goodwill existing between the Company and such persons. Executive acknowledges and agrees that it is fair and reasonable for the Company to take steps to protect itself from the risk of such </w:t>
      </w:r>
      <w:r>
        <w:rPr>
          <w:rFonts w:ascii="Times New Roman;Times;Serif" w:hAnsi="Times New Roman;Times;Serif"/>
          <w:b w:val="false"/>
          <w:i w:val="false"/>
          <w:caps w:val="false"/>
          <w:smallCaps w:val="false"/>
          <w:spacing w:val="-2"/>
          <w:sz w:val="20"/>
        </w:rPr>
        <w:t>misappropriation.</w:t>
      </w:r>
    </w:p>
    <w:p>
      <w:pPr>
        <w:pStyle w:val="TextBody"/>
        <w:bidi w:val="0"/>
        <w:spacing w:before="0" w:after="0"/>
        <w:ind w:left="0" w:right="0" w:firstLine="91"/>
        <w:jc w:val="both"/>
        <w:rPr>
          <w:caps w:val="false"/>
          <w:smallCaps w:val="false"/>
        </w:rPr>
      </w:pPr>
      <w:r>
        <w:rPr>
          <w:caps w:val="false"/>
          <w:smallCaps w:val="false"/>
        </w:rPr>
        <w:t> </w:t>
      </w:r>
    </w:p>
    <w:p>
      <w:pPr>
        <w:pStyle w:val="TextBody"/>
        <w:bidi w:val="0"/>
        <w:spacing w:before="0" w:after="0"/>
        <w:ind w:left="0" w:right="0" w:firstLine="91"/>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2</w:t>
      </w:r>
    </w:p>
    <w:p>
      <w:pPr>
        <w:pStyle w:val="TextBody"/>
        <w:bidi w:val="0"/>
        <w:spacing w:before="0" w:after="0"/>
        <w:jc w:val="center"/>
        <w:rPr/>
      </w:pPr>
      <w:r>
        <w:rPr/>
        <w:t> </w:t>
      </w:r>
    </w:p>
    <w:p>
      <w:pPr>
        <w:pStyle w:val="TextBody"/>
        <w:bidi w:val="0"/>
        <w:spacing w:before="0" w:after="0"/>
        <w:ind w:left="0" w:right="0" w:firstLine="91"/>
        <w:jc w:val="both"/>
        <w:rPr>
          <w:caps w:val="false"/>
          <w:smallCaps w:val="false"/>
        </w:rPr>
      </w:pPr>
      <w:r>
        <w:rPr>
          <w:caps w:val="false"/>
          <w:smallCaps w:val="false"/>
        </w:rPr>
        <w:t> </w:t>
      </w:r>
    </w:p>
    <w:tbl>
      <w:tblPr>
        <w:tblW w:w="7355" w:type="dxa"/>
        <w:jc w:val="left"/>
        <w:tblInd w:w="0" w:type="dxa"/>
        <w:tblLayout w:type="fixed"/>
        <w:tblCellMar>
          <w:top w:w="0" w:type="dxa"/>
          <w:left w:w="0" w:type="dxa"/>
          <w:bottom w:w="0" w:type="dxa"/>
          <w:right w:w="0" w:type="dxa"/>
        </w:tblCellMar>
      </w:tblPr>
      <w:tblGrid>
        <w:gridCol w:w="4170"/>
        <w:gridCol w:w="60"/>
        <w:gridCol w:w="3125"/>
      </w:tblGrid>
      <w:tr>
        <w:trPr/>
        <w:tc>
          <w:tcPr>
            <w:tcW w:w="4170" w:type="dxa"/>
            <w:tcBorders/>
            <w:vAlign w:val="center"/>
          </w:tcPr>
          <w:p>
            <w:pPr>
              <w:pStyle w:val="TableContents"/>
              <w:bidi w:val="0"/>
              <w:spacing w:before="0" w:after="283"/>
              <w:jc w:val="left"/>
              <w:rPr/>
            </w:pPr>
            <w:r>
              <w:rPr/>
              <w:drawing>
                <wp:inline distT="0" distB="0" distL="0" distR="0">
                  <wp:extent cx="2638425" cy="5429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9"/>
                          <a:stretch>
                            <a:fillRect/>
                          </a:stretch>
                        </pic:blipFill>
                        <pic:spPr bwMode="auto">
                          <a:xfrm>
                            <a:off x="0" y="0"/>
                            <a:ext cx="2638425" cy="542925"/>
                          </a:xfrm>
                          <a:prstGeom prst="rect">
                            <a:avLst/>
                          </a:prstGeom>
                        </pic:spPr>
                      </pic:pic>
                    </a:graphicData>
                  </a:graphic>
                </wp:inline>
              </w:drawing>
            </w:r>
          </w:p>
        </w:tc>
        <w:tc>
          <w:tcPr>
            <w:tcW w:w="60" w:type="dxa"/>
            <w:tcBorders/>
            <w:vAlign w:val="center"/>
          </w:tcPr>
          <w:p>
            <w:pPr>
              <w:pStyle w:val="TableContents"/>
              <w:bidi w:val="0"/>
              <w:spacing w:before="0" w:after="283"/>
              <w:jc w:val="center"/>
              <w:rPr/>
            </w:pPr>
            <w:r>
              <w:rPr/>
              <w:t> </w:t>
            </w:r>
          </w:p>
        </w:tc>
        <w:tc>
          <w:tcPr>
            <w:tcW w:w="3125" w:type="dxa"/>
            <w:tcBorders/>
            <w:vAlign w:val="center"/>
          </w:tcPr>
          <w:p>
            <w:pPr>
              <w:pStyle w:val="TableContents"/>
              <w:bidi w:val="0"/>
              <w:spacing w:lineRule="atLeast" w:line="207"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YYForce </w:t>
            </w:r>
            <w:r>
              <w:rPr>
                <w:rFonts w:ascii="Times New Roman;Times;Serif" w:hAnsi="Times New Roman;Times;Serif"/>
                <w:b/>
                <w:i w:val="false"/>
                <w:caps w:val="false"/>
                <w:smallCaps w:val="false"/>
                <w:spacing w:val="-4"/>
                <w:sz w:val="20"/>
              </w:rPr>
              <w:t>Inc.</w:t>
            </w:r>
          </w:p>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 Paya Lebar Road, #09-13</w:t>
            </w:r>
          </w:p>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Paya Lebar Square, Singapore 409051</w:t>
            </w:r>
          </w:p>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6604 6896 Fax: 6604 6807</w:t>
            </w:r>
          </w:p>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pacing w:val="-2"/>
                <w:sz w:val="20"/>
              </w:rPr>
              <w:t>Enquires@yyforce.ai</w:t>
            </w:r>
          </w:p>
        </w:tc>
      </w:tr>
    </w:tbl>
    <w:p>
      <w:pPr>
        <w:pStyle w:val="TextBody"/>
        <w:bidi w:val="0"/>
        <w:spacing w:before="0" w:after="0"/>
        <w:ind w:left="0" w:right="0" w:firstLine="9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Executive acknowledges and agrees that, in exchange for his agreement in SECTION 2.03(c) below, he will receive substantial, valuable consideration from the Company upon the execution of this Agreement and during the course of this Agreement, including, (i) Confidential Information and access to Confidential Information, (ii) compensation and other benefits and (c) access to the Company’s prospects.</w:t>
      </w:r>
    </w:p>
    <w:p>
      <w:pPr>
        <w:pStyle w:val="TextBody"/>
        <w:bidi w:val="0"/>
        <w:spacing w:before="0" w:after="0"/>
        <w:ind w:left="0" w:right="0" w:firstLine="9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During the Non-Compete Term and provided that the Company has made all severance payments provided for herein (to the extent applicable), Executive will not, directly or indirectly, provide the same or substantially the same services that he provides to the Company to any Business Enterprise in the Market Area (as defined below) without prior written consent, which will not be unreasonably withheld. This includes working as an agent, consultant, employee, officer, director, partner or independent contractor or being a shareholder, member, joint venturer or equity owner in, any such Business Enterprise; PROVIDED, HOWEVER, that the foregoing shall not restrict Executive from holding up to 5% of the voting power or equity of one or more Business Enterprises.</w:t>
      </w:r>
    </w:p>
    <w:p>
      <w:pPr>
        <w:pStyle w:val="TextBody"/>
        <w:bidi w:val="0"/>
        <w:spacing w:before="0" w:after="0"/>
        <w:ind w:left="0" w:right="0" w:hanging="629"/>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For purposes of </w:t>
      </w:r>
      <w:r>
        <w:rPr>
          <w:rFonts w:ascii="Times New Roman;Times;Serif" w:hAnsi="Times New Roman;Times;Serif"/>
          <w:b w:val="false"/>
          <w:i w:val="false"/>
          <w:caps w:val="false"/>
          <w:smallCaps w:val="false"/>
          <w:spacing w:val="-2"/>
          <w:sz w:val="20"/>
        </w:rPr>
        <w:t>hereof:</w:t>
      </w:r>
    </w:p>
    <w:p>
      <w:pPr>
        <w:pStyle w:val="TextBody"/>
        <w:bidi w:val="0"/>
        <w:spacing w:before="0" w:after="0"/>
        <w:ind w:left="0" w:right="0" w:firstLine="53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“BUSINESS ENTERPRISE” means any corporation, partnership, limited liability company, sole proprietorship, joint venture or other business association or entity (other than the Company) engaged in the business of publishing national and regional publications and development of technology that serves the needs of online and print publishers and their advertisers in the Market Area;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“NON-COMPETE TERM” means in the case of termination for any reason, the period from the Effective Date to the date ending 2 years following the date of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2.04 Non-Solicitation of Executives</w:t>
      </w:r>
      <w:r>
        <w:rPr>
          <w:rFonts w:ascii="Times New Roman;Times;Serif" w:hAnsi="Times New Roman;Times;Serif"/>
          <w:b w:val="false"/>
          <w:i w:val="false"/>
          <w:caps w:val="false"/>
          <w:smallCaps w:val="false"/>
          <w:sz w:val="20"/>
        </w:rPr>
        <w:t>. During the Non-Compete Term, Executive will not, either directly or indirectly, call on, solicit or induce any other executive or officer of the Company or its affiliates with whom Executive had contact, knowledge of, or association with in the course of employment with the Company to terminate his employment, and will not assist any other person or entity in such a solicitation; PROVIDED, HOWEVER, that with respect to soliciting any executive or officer whose employment was terminated by the Company or its affiliates, or general solicitations for employment not targeted at current officers or employees of the Company or its affiliates, the foregoing restriction shall not apply.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 xml:space="preserve">Article </w:t>
      </w:r>
      <w:r>
        <w:rPr>
          <w:rFonts w:ascii="Times New Roman;Times;Serif" w:hAnsi="Times New Roman;Times;Serif"/>
          <w:b/>
          <w:i w:val="false"/>
          <w:caps w:val="false"/>
          <w:smallCaps w:val="false"/>
          <w:spacing w:val="-4"/>
          <w:sz w:val="20"/>
          <w:u w:val="single"/>
        </w:rPr>
        <w:t>III.</w:t>
      </w:r>
      <w:r>
        <w:rPr>
          <w:rFonts w:ascii="Times New Roman;Times;Serif" w:hAnsi="Times New Roman;Times;Serif"/>
          <w:b/>
          <w:i w:val="false"/>
          <w:caps w:val="false"/>
          <w:smallCaps w:val="false"/>
          <w:sz w:val="20"/>
        </w:rPr>
        <w:tab/>
      </w:r>
      <w:r>
        <w:rPr>
          <w:rFonts w:ascii="Times New Roman;Times;Serif" w:hAnsi="Times New Roman;Times;Serif"/>
          <w:b/>
          <w:i w:val="false"/>
          <w:caps w:val="false"/>
          <w:smallCaps w:val="false"/>
          <w:sz w:val="20"/>
          <w:u w:val="single"/>
        </w:rPr>
        <w:t xml:space="preserve">Termination of </w:t>
      </w:r>
      <w:r>
        <w:rPr>
          <w:rFonts w:ascii="Times New Roman;Times;Serif" w:hAnsi="Times New Roman;Times;Serif"/>
          <w:b/>
          <w:i w:val="false"/>
          <w:caps w:val="false"/>
          <w:smallCaps w:val="false"/>
          <w:spacing w:val="-2"/>
          <w:sz w:val="20"/>
          <w:u w:val="single"/>
        </w:rPr>
        <w:t>Employment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3.01 Termination of </w:t>
      </w:r>
      <w:r>
        <w:rPr>
          <w:rFonts w:ascii="Times New Roman;Times;Serif" w:hAnsi="Times New Roman;Times;Serif"/>
          <w:b/>
          <w:i w:val="false"/>
          <w:caps w:val="false"/>
          <w:smallCaps w:val="false"/>
          <w:spacing w:val="-2"/>
          <w:sz w:val="20"/>
        </w:rPr>
        <w:t>Employment.</w:t>
      </w:r>
    </w:p>
    <w:p>
      <w:pPr>
        <w:pStyle w:val="TextBody"/>
        <w:bidi w:val="0"/>
        <w:spacing w:before="0" w:after="0"/>
        <w:ind w:left="0" w:right="0" w:firstLine="9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Executive’s employment with the Company shall be terminated (i) immediately upon the death of Executive without further action by the Company, (ii) upon Executive’s Permanent Disability without further action by the Company, (iii) by the Company for Cause, (iv) by Executive without Good Reason, (v) by the Company without Cause or by Executive for Good Reason, including by the Company without Cause or by Executive for Good Reason following a Change of Control,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clause (v), the terminating party must give at least 30 days’ advance written notice of such termination. For purposes of this ARTICLE III, “date of termination” means the date of Executive’s death, the date of Executive’s Permanent Disability, or the date of Executive’s separation from service with the Company, as applicable.</w:t>
      </w:r>
    </w:p>
    <w:p>
      <w:pPr>
        <w:pStyle w:val="TextBody"/>
        <w:bidi w:val="0"/>
        <w:spacing w:before="0" w:after="0"/>
        <w:ind w:left="0" w:right="0" w:firstLine="91"/>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For purposes </w:t>
      </w:r>
      <w:r>
        <w:rPr>
          <w:rFonts w:ascii="Times New Roman;Times;Serif" w:hAnsi="Times New Roman;Times;Serif"/>
          <w:b w:val="false"/>
          <w:i w:val="false"/>
          <w:caps w:val="false"/>
          <w:smallCaps w:val="false"/>
          <w:spacing w:val="-2"/>
          <w:sz w:val="20"/>
        </w:rPr>
        <w:t>hereof:</w:t>
      </w:r>
    </w:p>
    <w:p>
      <w:pPr>
        <w:pStyle w:val="TextBody"/>
        <w:bidi w:val="0"/>
        <w:spacing w:before="0" w:after="0"/>
        <w:ind w:left="0" w:right="0" w:firstLine="53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“CAUSE” shall include (A) continued failure by Executive to perform substantially Executive’s duties and responsibilities (other than a failure resulting from Permanent Disability) that is materially injurious to the Company and that remains uncorrected for 10 days after receipt of appropriate written notice from the Board; (B) engagement in willful, reckless or grossly negligent misconduct that is materially injurious to Company or any of its affiliates, monetarily or otherwise; (C) except as provided by (D), the indictment of Executive with a crime involving moral turpitude or a felony; (D) the indictment of Executive for an act of criminal fraud, misappropriation or personal dishonesty; or (E) a material breach by Executive of any provision of this Agreement that is materially injurious to the Company and that remains uncorrected for 10 days following written notice of such breach by the Company to Executive identifying the provision of this Agreement that Company determined has been breached. For purposes of (C) and (D), if the criminal charge is subsequently dismissed with prejudice or the Executive is acquitted at trial or on appeal then the Executive will be deemed to have been terminated without Cause.</w:t>
      </w:r>
    </w:p>
    <w:p>
      <w:pPr>
        <w:pStyle w:val="TextBody"/>
        <w:bidi w:val="0"/>
        <w:spacing w:before="0" w:after="0"/>
        <w:ind w:left="0" w:right="0" w:firstLine="475"/>
        <w:jc w:val="both"/>
        <w:rPr>
          <w:caps w:val="false"/>
          <w:smallCaps w:val="false"/>
        </w:rPr>
      </w:pPr>
      <w:r>
        <w:rPr>
          <w:caps w:val="false"/>
          <w:smallCaps w:val="false"/>
        </w:rPr>
        <w:t> </w:t>
      </w:r>
    </w:p>
    <w:p>
      <w:pPr>
        <w:pStyle w:val="TextBody"/>
        <w:bidi w:val="0"/>
        <w:spacing w:before="0" w:after="0"/>
        <w:ind w:left="0" w:right="0" w:firstLine="475"/>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3</w:t>
      </w:r>
    </w:p>
    <w:p>
      <w:pPr>
        <w:pStyle w:val="TextBody"/>
        <w:bidi w:val="0"/>
        <w:spacing w:before="0" w:after="0"/>
        <w:jc w:val="center"/>
        <w:rPr/>
      </w:pPr>
      <w:r>
        <w:rPr/>
        <w:t> </w:t>
      </w:r>
    </w:p>
    <w:p>
      <w:pPr>
        <w:pStyle w:val="TextBody"/>
        <w:bidi w:val="0"/>
        <w:spacing w:before="0" w:after="0"/>
        <w:ind w:left="0" w:right="0" w:firstLine="475"/>
        <w:jc w:val="both"/>
        <w:rPr>
          <w:caps w:val="false"/>
          <w:smallCaps w:val="false"/>
        </w:rPr>
      </w:pPr>
      <w:r>
        <w:rPr>
          <w:caps w:val="false"/>
          <w:smallCaps w:val="false"/>
        </w:rPr>
        <w:t> </w:t>
      </w:r>
    </w:p>
    <w:tbl>
      <w:tblPr>
        <w:tblW w:w="7355" w:type="dxa"/>
        <w:jc w:val="left"/>
        <w:tblInd w:w="0" w:type="dxa"/>
        <w:tblLayout w:type="fixed"/>
        <w:tblCellMar>
          <w:top w:w="0" w:type="dxa"/>
          <w:left w:w="0" w:type="dxa"/>
          <w:bottom w:w="0" w:type="dxa"/>
          <w:right w:w="0" w:type="dxa"/>
        </w:tblCellMar>
      </w:tblPr>
      <w:tblGrid>
        <w:gridCol w:w="4170"/>
        <w:gridCol w:w="60"/>
        <w:gridCol w:w="3125"/>
      </w:tblGrid>
      <w:tr>
        <w:trPr/>
        <w:tc>
          <w:tcPr>
            <w:tcW w:w="4170" w:type="dxa"/>
            <w:tcBorders/>
            <w:vAlign w:val="center"/>
          </w:tcPr>
          <w:p>
            <w:pPr>
              <w:pStyle w:val="TableContents"/>
              <w:bidi w:val="0"/>
              <w:spacing w:before="0" w:after="283"/>
              <w:jc w:val="left"/>
              <w:rPr/>
            </w:pPr>
            <w:r>
              <w:rPr/>
              <w:drawing>
                <wp:inline distT="0" distB="0" distL="0" distR="0">
                  <wp:extent cx="2638425" cy="5429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0"/>
                          <a:stretch>
                            <a:fillRect/>
                          </a:stretch>
                        </pic:blipFill>
                        <pic:spPr bwMode="auto">
                          <a:xfrm>
                            <a:off x="0" y="0"/>
                            <a:ext cx="2638425" cy="542925"/>
                          </a:xfrm>
                          <a:prstGeom prst="rect">
                            <a:avLst/>
                          </a:prstGeom>
                        </pic:spPr>
                      </pic:pic>
                    </a:graphicData>
                  </a:graphic>
                </wp:inline>
              </w:drawing>
            </w:r>
          </w:p>
        </w:tc>
        <w:tc>
          <w:tcPr>
            <w:tcW w:w="60" w:type="dxa"/>
            <w:tcBorders/>
            <w:vAlign w:val="center"/>
          </w:tcPr>
          <w:p>
            <w:pPr>
              <w:pStyle w:val="TableContents"/>
              <w:bidi w:val="0"/>
              <w:spacing w:before="0" w:after="283"/>
              <w:jc w:val="center"/>
              <w:rPr/>
            </w:pPr>
            <w:r>
              <w:rPr/>
              <w:t> </w:t>
            </w:r>
          </w:p>
        </w:tc>
        <w:tc>
          <w:tcPr>
            <w:tcW w:w="3125" w:type="dxa"/>
            <w:tcBorders/>
            <w:vAlign w:val="center"/>
          </w:tcPr>
          <w:p>
            <w:pPr>
              <w:pStyle w:val="TableContents"/>
              <w:bidi w:val="0"/>
              <w:spacing w:lineRule="atLeast" w:line="207"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YYForce </w:t>
            </w:r>
            <w:r>
              <w:rPr>
                <w:rFonts w:ascii="Times New Roman;Times;Serif" w:hAnsi="Times New Roman;Times;Serif"/>
                <w:b/>
                <w:i w:val="false"/>
                <w:caps w:val="false"/>
                <w:smallCaps w:val="false"/>
                <w:spacing w:val="-4"/>
                <w:sz w:val="20"/>
              </w:rPr>
              <w:t>Inc.</w:t>
            </w:r>
          </w:p>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 Paya Lebar Road, #09-13</w:t>
            </w:r>
          </w:p>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Paya Lebar Square, Singapore 409051</w:t>
            </w:r>
          </w:p>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6604 6896 Fax: 6604 6807</w:t>
            </w:r>
          </w:p>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pacing w:val="-2"/>
                <w:sz w:val="20"/>
              </w:rPr>
              <w:t>Enquires@yyforce.ai</w:t>
            </w:r>
          </w:p>
        </w:tc>
      </w:tr>
    </w:tbl>
    <w:p>
      <w:pPr>
        <w:pStyle w:val="TextBody"/>
        <w:bidi w:val="0"/>
        <w:spacing w:before="0" w:after="0"/>
        <w:ind w:left="0" w:right="0" w:firstLine="475"/>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“CHANGE OF CONTROL” means the occurrence of any one or more of the following events that occurs after the Effective Date:</w:t>
      </w:r>
    </w:p>
    <w:p>
      <w:pPr>
        <w:pStyle w:val="TextBody"/>
        <w:bidi w:val="0"/>
        <w:spacing w:before="0" w:after="0"/>
        <w:ind w:left="0" w:right="0" w:firstLine="89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Any “person” (as such term is used in sections 13(d) and 14(d) of the Securities Exchange Act of 1934, as amended (the “EXCHANGE ACT”)) becomes a “beneficial owner” (as defined in Rule 13d-3 under the Exchange Act), directly or indirectly, of securities of the Company representing more than 50% of the voting power of the then outstanding securities of the Company; provided that a Change of Control shall not be deemed to occur as a result of a transaction in which the Company becomes a subsidiary of another corporation and in which the stockholders of the Company, immediately prior to the transaction, will beneficially own, immediately after the transaction, shares entitling such stockholders to more than 50% of all votes to which all stockholders of the parent corporation would be entitled in the election of directors; or</w:t>
      </w:r>
    </w:p>
    <w:p>
      <w:pPr>
        <w:pStyle w:val="TextBody"/>
        <w:bidi w:val="0"/>
        <w:spacing w:before="0" w:after="0"/>
        <w:ind w:left="0" w:right="0" w:firstLine="89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consummation of (A) a merger or consolidation of the Company with another corporation where the stockholders of the Company, immediately prior to the merger or consolidation, will not beneficially own, immediately after the merger or consolidation, shares entitling such stockholders to more than 50% of all votes to which all stockholders of the surviving corporation would be entitled in the election of directors, (B) a sale or other disposition of all or substantially all of the assets of the Company, or (C) a liquidation or dissolution of the Company.</w:t>
      </w:r>
    </w:p>
    <w:p>
      <w:pPr>
        <w:pStyle w:val="TextBody"/>
        <w:bidi w:val="0"/>
        <w:spacing w:before="0" w:after="0"/>
        <w:ind w:left="0" w:right="0" w:firstLine="4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“GOOD REASON” shall mean one or more of the following conditions arising not more than six months before Executive’s termination date without Executive’s consent: (A) a material breach by the Company of any provision of this Agreement; (B) assignment by the Board or a duly authorized committee thereof to Executive of any duties that materially and adversely alter the nature or status of Executive’s position, job descriptions, duties, title or responsibilities from those of a President and Chief Strategy Officer, or eligibility for Company compensation plans; (C) requirement by the Company for Executive to relocate to a primary place of business which is more than [50] miles away from the Executive’s primary place of business as of the Effective Date of this Agreement; or (D) a material reduction in Executive’s Base Salary in effect at the relevant time. Notwithstanding anything herein to the contrary, Good Reason will exist only if Executive provides notice to the Company of the existence of the condition otherwise constituting Good Reason within 90 days of the initial existence of the condition, and the Company fails to remedy the condition on or before the 30th day following its receipt of such notice.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“PERMANENT DISABILITY” shall mean Executive’s inability to engage in any substantial gainful activity by reason of any medically determinable physical or mental impairment that can be expected to result in death or can be expected to last for a continuous period of not less than 12 months. Executive will be deemed permanently disabled if determined to be totally disabled by the Social Security Administration or if determined to be disabled in accordance with a disability insurance program that applies a definition of disability that complies with the requirements of this paragraph. (c) If Executive’s employment is terminated under any of the foregoing circumstances, all future compensation to which Executive is otherwise entitled and all future benefits for which Executive is eligible, other than those already earned but which is unpaid, shall cease and terminate as of the date of termination, except as specifically provided in this ARTICLE III.</w:t>
      </w:r>
    </w:p>
    <w:p>
      <w:pPr>
        <w:pStyle w:val="TextBody"/>
        <w:bidi w:val="0"/>
        <w:spacing w:before="0" w:after="0"/>
        <w:ind w:left="0" w:right="0" w:firstLine="9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 xml:space="preserve">Article </w:t>
      </w:r>
      <w:r>
        <w:rPr>
          <w:rFonts w:ascii="Times New Roman;Times;Serif" w:hAnsi="Times New Roman;Times;Serif"/>
          <w:b/>
          <w:i w:val="false"/>
          <w:caps w:val="false"/>
          <w:smallCaps w:val="false"/>
          <w:spacing w:val="-5"/>
          <w:sz w:val="20"/>
          <w:u w:val="single"/>
        </w:rPr>
        <w:t>IV.</w:t>
      </w:r>
      <w:r>
        <w:rPr>
          <w:rFonts w:ascii="Times New Roman;Times;Serif" w:hAnsi="Times New Roman;Times;Serif"/>
          <w:b/>
          <w:i w:val="false"/>
          <w:caps w:val="false"/>
          <w:smallCaps w:val="false"/>
          <w:sz w:val="20"/>
        </w:rPr>
        <w:tab/>
      </w:r>
      <w:r>
        <w:rPr>
          <w:rFonts w:ascii="Times New Roman;Times;Serif" w:hAnsi="Times New Roman;Times;Serif"/>
          <w:b/>
          <w:i w:val="false"/>
          <w:caps w:val="false"/>
          <w:smallCaps w:val="false"/>
          <w:spacing w:val="-2"/>
          <w:sz w:val="20"/>
          <w:u w:val="single"/>
        </w:rPr>
        <w:t>Miscellaneous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4.01 Notices</w:t>
      </w:r>
      <w:r>
        <w:rPr>
          <w:rFonts w:ascii="Times New Roman;Times;Serif" w:hAnsi="Times New Roman;Times;Serif"/>
          <w:b w:val="false"/>
          <w:i w:val="false"/>
          <w:caps w:val="false"/>
          <w:smallCaps w:val="false"/>
          <w:sz w:val="20"/>
        </w:rPr>
        <w:t xml:space="preserve">. All notices and other communications required or permitted to be given hereunder shall be in writing and shall be deemed to have been duly given if delivered personally, mailed by certified mail (return receipt requested) or sent by overnight delivery service, or electronic mail, or facsimile </w:t>
      </w:r>
      <w:r>
        <w:rPr>
          <w:rFonts w:ascii="Times New Roman;Times;Serif" w:hAnsi="Times New Roman;Times;Serif"/>
          <w:b w:val="false"/>
          <w:i w:val="false"/>
          <w:caps w:val="false"/>
          <w:smallCaps w:val="false"/>
          <w:spacing w:val="-2"/>
          <w:sz w:val="20"/>
        </w:rPr>
        <w:t>transmission.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4.02 Severability and Reformation</w:t>
      </w:r>
      <w:r>
        <w:rPr>
          <w:rFonts w:ascii="Times New Roman;Times;Serif" w:hAnsi="Times New Roman;Times;Serif"/>
          <w:b w:val="false"/>
          <w:i w:val="false"/>
          <w:caps w:val="false"/>
          <w:smallCaps w:val="false"/>
          <w:sz w:val="20"/>
        </w:rPr>
        <w:t>. If any one or more of the terms, provisions, covenants or restrictions of this Agreement shall be determined by a court of competent jurisdiction to be invalid, void or unenforceable, the remainder of the terms, provisions, covenants and restrictions shall remain in full force and effect, and the invalid, void or unenforceable provisions shall be deemed severable. Moreover, if any one or more of the provisions contained in this Agreement shall for any reason be held to be excessively broad as to duration, geographical scope, activity or subject, it shall be reformed by limiting and reducing it to the minimum extent necessary, so as to be enforceable to the extent compatible with the applicable law as it shall then appear.</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4.03 Assignment.</w:t>
      </w:r>
      <w:r>
        <w:rPr>
          <w:rFonts w:ascii="Times New Roman;Times;Serif" w:hAnsi="Times New Roman;Times;Serif"/>
          <w:b w:val="false"/>
          <w:i w:val="false"/>
          <w:caps w:val="false"/>
          <w:smallCaps w:val="false"/>
          <w:sz w:val="20"/>
        </w:rPr>
        <w:t xml:space="preserve"> This Agreement shall be binding upon and inure to the benefit of the heirs and legal representatives of Executive and the permitted assigns and successors of the Company, but neither this Agreement nor any rights or obligations hereunder shall be assignable or otherwise subject to hypothecation by Executive (except by will or by operation of the laws of intestate succession) or by the Company, except that the Company may assign this Agreement to any successor (whether by merger, purchase or otherwise), if such successor expressly agrees to assume the obligations of the Company </w:t>
      </w:r>
      <w:r>
        <w:rPr>
          <w:rFonts w:ascii="Times New Roman;Times;Serif" w:hAnsi="Times New Roman;Times;Serif"/>
          <w:b w:val="false"/>
          <w:i w:val="false"/>
          <w:caps w:val="false"/>
          <w:smallCaps w:val="false"/>
          <w:spacing w:val="-2"/>
          <w:sz w:val="20"/>
        </w:rPr>
        <w:t>hereunder.</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4.04 Amendment</w:t>
      </w:r>
      <w:r>
        <w:rPr>
          <w:rFonts w:ascii="Times New Roman;Times;Serif" w:hAnsi="Times New Roman;Times;Serif"/>
          <w:b w:val="false"/>
          <w:i w:val="false"/>
          <w:caps w:val="false"/>
          <w:smallCaps w:val="false"/>
          <w:sz w:val="20"/>
        </w:rPr>
        <w:t>. This Agreement may be amended only by writing signed by Executive and by the Company.</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4</w:t>
      </w:r>
    </w:p>
    <w:p>
      <w:pPr>
        <w:pStyle w:val="TextBody"/>
        <w:bidi w:val="0"/>
        <w:spacing w:before="0" w:after="0"/>
        <w:jc w:val="center"/>
        <w:rPr/>
      </w:pPr>
      <w:r>
        <w:rPr/>
        <w:t> </w:t>
      </w:r>
    </w:p>
    <w:p>
      <w:pPr>
        <w:pStyle w:val="TextBody"/>
        <w:bidi w:val="0"/>
        <w:spacing w:before="0" w:after="0"/>
        <w:ind w:left="1080" w:right="0" w:hanging="0"/>
        <w:jc w:val="both"/>
        <w:rPr>
          <w:caps w:val="false"/>
          <w:smallCaps w:val="false"/>
        </w:rPr>
      </w:pPr>
      <w:r>
        <w:rPr>
          <w:caps w:val="false"/>
          <w:smallCaps w:val="false"/>
        </w:rPr>
        <w:t> </w:t>
      </w:r>
    </w:p>
    <w:tbl>
      <w:tblPr>
        <w:tblW w:w="7355" w:type="dxa"/>
        <w:jc w:val="left"/>
        <w:tblInd w:w="0" w:type="dxa"/>
        <w:tblLayout w:type="fixed"/>
        <w:tblCellMar>
          <w:top w:w="0" w:type="dxa"/>
          <w:left w:w="0" w:type="dxa"/>
          <w:bottom w:w="0" w:type="dxa"/>
          <w:right w:w="0" w:type="dxa"/>
        </w:tblCellMar>
      </w:tblPr>
      <w:tblGrid>
        <w:gridCol w:w="4170"/>
        <w:gridCol w:w="60"/>
        <w:gridCol w:w="3125"/>
      </w:tblGrid>
      <w:tr>
        <w:trPr/>
        <w:tc>
          <w:tcPr>
            <w:tcW w:w="4170" w:type="dxa"/>
            <w:tcBorders/>
            <w:vAlign w:val="center"/>
          </w:tcPr>
          <w:p>
            <w:pPr>
              <w:pStyle w:val="TableContents"/>
              <w:bidi w:val="0"/>
              <w:spacing w:before="0" w:after="283"/>
              <w:jc w:val="left"/>
              <w:rPr/>
            </w:pPr>
            <w:r>
              <w:rPr/>
              <w:drawing>
                <wp:inline distT="0" distB="0" distL="0" distR="0">
                  <wp:extent cx="2638425" cy="5429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1"/>
                          <a:stretch>
                            <a:fillRect/>
                          </a:stretch>
                        </pic:blipFill>
                        <pic:spPr bwMode="auto">
                          <a:xfrm>
                            <a:off x="0" y="0"/>
                            <a:ext cx="2638425" cy="542925"/>
                          </a:xfrm>
                          <a:prstGeom prst="rect">
                            <a:avLst/>
                          </a:prstGeom>
                        </pic:spPr>
                      </pic:pic>
                    </a:graphicData>
                  </a:graphic>
                </wp:inline>
              </w:drawing>
            </w:r>
          </w:p>
        </w:tc>
        <w:tc>
          <w:tcPr>
            <w:tcW w:w="60" w:type="dxa"/>
            <w:tcBorders/>
            <w:vAlign w:val="center"/>
          </w:tcPr>
          <w:p>
            <w:pPr>
              <w:pStyle w:val="TableContents"/>
              <w:bidi w:val="0"/>
              <w:spacing w:before="0" w:after="283"/>
              <w:jc w:val="center"/>
              <w:rPr/>
            </w:pPr>
            <w:r>
              <w:rPr/>
              <w:t> </w:t>
            </w:r>
          </w:p>
        </w:tc>
        <w:tc>
          <w:tcPr>
            <w:tcW w:w="3125" w:type="dxa"/>
            <w:tcBorders/>
            <w:vAlign w:val="center"/>
          </w:tcPr>
          <w:p>
            <w:pPr>
              <w:pStyle w:val="TableContents"/>
              <w:bidi w:val="0"/>
              <w:spacing w:lineRule="atLeast" w:line="207"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YYForce </w:t>
            </w:r>
            <w:r>
              <w:rPr>
                <w:rFonts w:ascii="Times New Roman;Times;Serif" w:hAnsi="Times New Roman;Times;Serif"/>
                <w:b/>
                <w:i w:val="false"/>
                <w:caps w:val="false"/>
                <w:smallCaps w:val="false"/>
                <w:spacing w:val="-4"/>
                <w:sz w:val="20"/>
              </w:rPr>
              <w:t>Inc.</w:t>
            </w:r>
          </w:p>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 Paya Lebar Road, #09-13</w:t>
            </w:r>
          </w:p>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Paya Lebar Square, Singapore 409051</w:t>
            </w:r>
          </w:p>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6604 6896 Fax: 6604 6807</w:t>
            </w:r>
          </w:p>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pacing w:val="-2"/>
                <w:sz w:val="20"/>
              </w:rPr>
              <w:t>Enquires@yyforce.ai</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4.05 GOVERNING LAW AND JURISDICTION</w:t>
      </w:r>
      <w:r>
        <w:rPr>
          <w:rFonts w:ascii="Times New Roman;Times;Serif" w:hAnsi="Times New Roman;Times;Serif"/>
          <w:b w:val="false"/>
          <w:i w:val="false"/>
          <w:caps w:val="false"/>
          <w:smallCaps w:val="false"/>
          <w:sz w:val="20"/>
        </w:rPr>
        <w:t>. This Agreement, and any dispute or claim (including non-contractual disputes or claims) arising out of or in connection with it or the employment relationship, shall be construed, interpreted and governed in accordance with the laws of Singapore, without regard to its conflict of laws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Employee irrevocably agrees and submits to the exclusive jurisdiction of the courts of Singapore in connection with any dispute, claim, proceeding or matter arising out of or relating to this Agreement or the employment relationship, including any matter concerning the interpretation, performance, breach, termination or enforcement of this Agreement.</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Employee irrevocably waives any objection to the jurisdiction or venue of the courts of Singapore, including any objection on the ground of forum non conveniens, and agrees that any proceedings brought by the Employee arising out of or relating to this Agreement or the employment relationship shall be brought exclusively before the courts of Singapore, to the extent permitted by applicable law.</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Clause shall limit the right of the Employer to bring proceedings against the Employee in the courts of any other jurisdiction of competent jurisdiction, including for the purpose of seeking injunctive or other equitable relief or enforcing any judgment. The commencement or continuation of proceedings in one or more jurisdictions shall not preclude the Employer from commencing or continuing proceedings in any other jurisdiction, whether concurrently or otherwise.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4.06 Entire Agreement. </w:t>
      </w:r>
      <w:r>
        <w:rPr>
          <w:rFonts w:ascii="Times New Roman;Times;Serif" w:hAnsi="Times New Roman;Times;Serif"/>
          <w:b w:val="false"/>
          <w:i w:val="false"/>
          <w:caps w:val="false"/>
          <w:smallCaps w:val="false"/>
          <w:sz w:val="20"/>
        </w:rPr>
        <w:t>This Agreement contains the entire understanding between the parties hereto with respect to the subject matter hereof and supersedes in all respects any prior or other agreement or understanding, written or oral, between the Company or any affiliate of the Company and Executive with respect to such subject matter, including the Employment Agreement.</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4.07 Counterparts; No Electronic Signatures.</w:t>
      </w:r>
      <w:r>
        <w:rPr>
          <w:rFonts w:ascii="Times New Roman;Times;Serif" w:hAnsi="Times New Roman;Times;Serif"/>
          <w:b w:val="false"/>
          <w:i w:val="false"/>
          <w:caps w:val="false"/>
          <w:smallCaps w:val="false"/>
          <w:sz w:val="20"/>
        </w:rPr>
        <w:t xml:space="preserve"> This Agreement may be executed in two or more counterparts, each of which will be deemed an original. For purposes of determining whether a partyhas signed this Agreement or any document contemplated hereby or any amendment or waiver hereof, only a handwritten signature on a paper document or a facsimile transmission of a handwritten original signature will constitute a signature, notwithstanding any law relating to or enabling the creation, execution or delivery of any contract or signature by electronic means.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4.08 Construction. </w:t>
      </w:r>
      <w:r>
        <w:rPr>
          <w:rFonts w:ascii="Times New Roman;Times;Serif" w:hAnsi="Times New Roman;Times;Serif"/>
          <w:b w:val="false"/>
          <w:i w:val="false"/>
          <w:caps w:val="false"/>
          <w:smallCaps w:val="false"/>
          <w:sz w:val="20"/>
        </w:rPr>
        <w:t>The headings and captions of this Agreement are provided for convenience only and are intended to have no effect in construing or interpreting this Agreement. The language in all parts of this Agreement shall be in all cases construed in accordance to its fair meaning and not strictly for or against the Company or Executive. The words “include,” “includes,” and “including” will be deemed to be followed by “without limitation.”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[signature page </w:t>
      </w:r>
      <w:r>
        <w:rPr>
          <w:rFonts w:ascii="Times New Roman;Times;Serif" w:hAnsi="Times New Roman;Times;Serif"/>
          <w:b w:val="false"/>
          <w:i w:val="false"/>
          <w:caps w:val="false"/>
          <w:smallCaps w:val="false"/>
          <w:spacing w:val="-2"/>
          <w:sz w:val="20"/>
        </w:rPr>
        <w:t>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5</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tbl>
      <w:tblPr>
        <w:tblW w:w="7355" w:type="dxa"/>
        <w:jc w:val="left"/>
        <w:tblInd w:w="0" w:type="dxa"/>
        <w:tblLayout w:type="fixed"/>
        <w:tblCellMar>
          <w:top w:w="0" w:type="dxa"/>
          <w:left w:w="0" w:type="dxa"/>
          <w:bottom w:w="0" w:type="dxa"/>
          <w:right w:w="0" w:type="dxa"/>
        </w:tblCellMar>
      </w:tblPr>
      <w:tblGrid>
        <w:gridCol w:w="4170"/>
        <w:gridCol w:w="60"/>
        <w:gridCol w:w="3125"/>
      </w:tblGrid>
      <w:tr>
        <w:trPr/>
        <w:tc>
          <w:tcPr>
            <w:tcW w:w="4170" w:type="dxa"/>
            <w:tcBorders/>
            <w:vAlign w:val="center"/>
          </w:tcPr>
          <w:p>
            <w:pPr>
              <w:pStyle w:val="TableContents"/>
              <w:bidi w:val="0"/>
              <w:spacing w:before="0" w:after="283"/>
              <w:jc w:val="left"/>
              <w:rPr/>
            </w:pPr>
            <w:r>
              <w:rPr/>
              <w:drawing>
                <wp:inline distT="0" distB="0" distL="0" distR="0">
                  <wp:extent cx="2638425" cy="5429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2"/>
                          <a:stretch>
                            <a:fillRect/>
                          </a:stretch>
                        </pic:blipFill>
                        <pic:spPr bwMode="auto">
                          <a:xfrm>
                            <a:off x="0" y="0"/>
                            <a:ext cx="2638425" cy="542925"/>
                          </a:xfrm>
                          <a:prstGeom prst="rect">
                            <a:avLst/>
                          </a:prstGeom>
                        </pic:spPr>
                      </pic:pic>
                    </a:graphicData>
                  </a:graphic>
                </wp:inline>
              </w:drawing>
            </w:r>
          </w:p>
        </w:tc>
        <w:tc>
          <w:tcPr>
            <w:tcW w:w="60" w:type="dxa"/>
            <w:tcBorders/>
            <w:vAlign w:val="center"/>
          </w:tcPr>
          <w:p>
            <w:pPr>
              <w:pStyle w:val="TableContents"/>
              <w:bidi w:val="0"/>
              <w:spacing w:before="0" w:after="283"/>
              <w:jc w:val="center"/>
              <w:rPr/>
            </w:pPr>
            <w:r>
              <w:rPr/>
              <w:t> </w:t>
            </w:r>
          </w:p>
        </w:tc>
        <w:tc>
          <w:tcPr>
            <w:tcW w:w="3125" w:type="dxa"/>
            <w:tcBorders/>
            <w:vAlign w:val="center"/>
          </w:tcPr>
          <w:p>
            <w:pPr>
              <w:pStyle w:val="TableContents"/>
              <w:bidi w:val="0"/>
              <w:spacing w:lineRule="atLeast" w:line="207"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YYForce </w:t>
            </w:r>
            <w:r>
              <w:rPr>
                <w:rFonts w:ascii="Times New Roman;Times;Serif" w:hAnsi="Times New Roman;Times;Serif"/>
                <w:b/>
                <w:i w:val="false"/>
                <w:caps w:val="false"/>
                <w:smallCaps w:val="false"/>
                <w:spacing w:val="-4"/>
                <w:sz w:val="20"/>
              </w:rPr>
              <w:t>Inc.</w:t>
            </w:r>
          </w:p>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 Paya Lebar Road, #09-13</w:t>
            </w:r>
          </w:p>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Paya Lebar Square, Singapore 409051</w:t>
            </w:r>
          </w:p>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6604 6896 Fax: 6604 6807</w:t>
            </w:r>
          </w:p>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pacing w:val="-2"/>
                <w:sz w:val="20"/>
              </w:rPr>
              <w:t>Enquires@yyforce.ai</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xml:space="preserve">, the parties hereto have executed this Agreement on the date first written </w:t>
      </w:r>
      <w:r>
        <w:rPr>
          <w:rFonts w:ascii="Times New Roman;Times;Serif" w:hAnsi="Times New Roman;Times;Serif"/>
          <w:b w:val="false"/>
          <w:i w:val="false"/>
          <w:caps w:val="false"/>
          <w:smallCaps w:val="false"/>
          <w:spacing w:val="-2"/>
          <w:sz w:val="20"/>
        </w:rPr>
        <w:t>above:</w:t>
      </w:r>
    </w:p>
    <w:p>
      <w:pPr>
        <w:pStyle w:val="TextBody"/>
        <w:bidi w:val="0"/>
        <w:spacing w:before="0" w:after="0"/>
        <w:ind w:left="0" w:right="0" w:hanging="0"/>
        <w:jc w:val="left"/>
        <w:rPr>
          <w:caps w:val="false"/>
          <w:smallCaps w:val="false"/>
        </w:rPr>
      </w:pPr>
      <w:r>
        <w:rPr>
          <w:caps w:val="false"/>
          <w:smallCaps w:val="false"/>
        </w:rPr>
        <w:t>  </w:t>
      </w:r>
    </w:p>
    <w:tbl>
      <w:tblPr>
        <w:tblW w:w="2018" w:type="dxa"/>
        <w:jc w:val="left"/>
        <w:tblInd w:w="0" w:type="dxa"/>
        <w:tblLayout w:type="fixed"/>
        <w:tblCellMar>
          <w:top w:w="0" w:type="dxa"/>
          <w:left w:w="0" w:type="dxa"/>
          <w:bottom w:w="0" w:type="dxa"/>
          <w:right w:w="0" w:type="dxa"/>
        </w:tblCellMar>
      </w:tblPr>
      <w:tblGrid>
        <w:gridCol w:w="75"/>
        <w:gridCol w:w="1943"/>
      </w:tblGrid>
      <w:tr>
        <w:trPr/>
        <w:tc>
          <w:tcPr>
            <w:tcW w:w="75" w:type="dxa"/>
            <w:tcBorders/>
            <w:vAlign w:val="center"/>
          </w:tcPr>
          <w:p>
            <w:pPr>
              <w:pStyle w:val="TableContents"/>
              <w:bidi w:val="0"/>
              <w:spacing w:before="0" w:after="283"/>
              <w:jc w:val="left"/>
              <w:rPr/>
            </w:pPr>
            <w:r>
              <w:rPr/>
              <w:t> </w:t>
            </w:r>
          </w:p>
        </w:tc>
        <w:tc>
          <w:tcPr>
            <w:tcW w:w="1943" w:type="dxa"/>
            <w:tcBorders/>
            <w:vAlign w:val="center"/>
          </w:tcPr>
          <w:p>
            <w:pPr>
              <w:pStyle w:val="TableContents"/>
              <w:bidi w:val="0"/>
              <w:spacing w:before="0" w:after="283"/>
              <w:jc w:val="left"/>
              <w:rPr>
                <w:b/>
                <w:sz w:val="20"/>
              </w:rPr>
            </w:pPr>
            <w:r>
              <w:rPr>
                <w:b/>
                <w:sz w:val="20"/>
              </w:rPr>
              <w:t xml:space="preserve">YYForce </w:t>
            </w:r>
            <w:r>
              <w:rPr>
                <w:b/>
                <w:spacing w:val="-4"/>
                <w:sz w:val="20"/>
              </w:rPr>
              <w:t>Inc.</w:t>
            </w:r>
          </w:p>
        </w:tc>
      </w:tr>
      <w:tr>
        <w:trPr/>
        <w:tc>
          <w:tcPr>
            <w:tcW w:w="75" w:type="dxa"/>
            <w:tcBorders/>
            <w:vAlign w:val="center"/>
          </w:tcPr>
          <w:p>
            <w:pPr>
              <w:pStyle w:val="TableContents"/>
              <w:bidi w:val="0"/>
              <w:spacing w:before="0" w:after="283"/>
              <w:jc w:val="left"/>
              <w:rPr/>
            </w:pPr>
            <w:r>
              <w:rPr/>
              <w:t> </w:t>
            </w:r>
          </w:p>
        </w:tc>
        <w:tc>
          <w:tcPr>
            <w:tcW w:w="194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43" w:type="dxa"/>
            <w:tcBorders>
              <w:bottom w:val="single" w:sz="8" w:space="0" w:color="000000"/>
            </w:tcBorders>
            <w:tcMar>
              <w:bottom w:w="28" w:type="dxa"/>
            </w:tcMar>
            <w:vAlign w:val="center"/>
          </w:tcPr>
          <w:p>
            <w:pPr>
              <w:pStyle w:val="TableContents"/>
              <w:bidi w:val="0"/>
              <w:spacing w:before="0" w:after="283"/>
              <w:jc w:val="left"/>
              <w:rPr>
                <w:sz w:val="20"/>
              </w:rPr>
            </w:pPr>
            <w:r>
              <w:rPr>
                <w:sz w:val="20"/>
              </w:rPr>
              <w:t>/s/ Fu Xiao Wei</w:t>
            </w:r>
          </w:p>
        </w:tc>
      </w:tr>
      <w:tr>
        <w:trPr/>
        <w:tc>
          <w:tcPr>
            <w:tcW w:w="75" w:type="dxa"/>
            <w:tcBorders/>
            <w:vAlign w:val="center"/>
          </w:tcPr>
          <w:p>
            <w:pPr>
              <w:pStyle w:val="TableContents"/>
              <w:bidi w:val="0"/>
              <w:spacing w:before="0" w:after="283"/>
              <w:jc w:val="left"/>
              <w:rPr/>
            </w:pPr>
            <w:r>
              <w:rPr/>
              <w:t> </w:t>
            </w:r>
          </w:p>
        </w:tc>
        <w:tc>
          <w:tcPr>
            <w:tcW w:w="1943" w:type="dxa"/>
            <w:tcBorders/>
            <w:vAlign w:val="center"/>
          </w:tcPr>
          <w:p>
            <w:pPr>
              <w:pStyle w:val="TableContents"/>
              <w:bidi w:val="0"/>
              <w:spacing w:before="0" w:after="283"/>
              <w:jc w:val="left"/>
              <w:rPr>
                <w:sz w:val="20"/>
              </w:rPr>
            </w:pPr>
            <w:r>
              <w:rPr>
                <w:sz w:val="20"/>
              </w:rPr>
              <w:t xml:space="preserve">Fu Xiao </w:t>
            </w:r>
            <w:r>
              <w:rPr>
                <w:spacing w:val="-5"/>
                <w:sz w:val="20"/>
              </w:rPr>
              <w:t>Wei</w:t>
            </w:r>
          </w:p>
        </w:tc>
      </w:tr>
      <w:tr>
        <w:trPr/>
        <w:tc>
          <w:tcPr>
            <w:tcW w:w="75" w:type="dxa"/>
            <w:tcBorders/>
            <w:vAlign w:val="center"/>
          </w:tcPr>
          <w:p>
            <w:pPr>
              <w:pStyle w:val="TableContents"/>
              <w:bidi w:val="0"/>
              <w:spacing w:before="0" w:after="283"/>
              <w:jc w:val="left"/>
              <w:rPr/>
            </w:pPr>
            <w:r>
              <w:rPr/>
              <w:t> </w:t>
            </w:r>
          </w:p>
        </w:tc>
        <w:tc>
          <w:tcPr>
            <w:tcW w:w="1943" w:type="dxa"/>
            <w:tcBorders/>
            <w:vAlign w:val="center"/>
          </w:tcPr>
          <w:p>
            <w:pPr>
              <w:pStyle w:val="TableContents"/>
              <w:bidi w:val="0"/>
              <w:spacing w:before="0" w:after="283"/>
              <w:jc w:val="left"/>
              <w:rPr>
                <w:sz w:val="20"/>
              </w:rPr>
            </w:pPr>
            <w:r>
              <w:rPr>
                <w:sz w:val="20"/>
              </w:rPr>
              <w:t xml:space="preserve">Chief Executive </w:t>
            </w:r>
            <w:r>
              <w:rPr>
                <w:spacing w:val="-2"/>
                <w:sz w:val="20"/>
              </w:rPr>
              <w:t>Officer</w:t>
            </w:r>
          </w:p>
        </w:tc>
      </w:tr>
    </w:tbl>
    <w:p>
      <w:pPr>
        <w:pStyle w:val="TextBody"/>
        <w:bidi w:val="0"/>
        <w:spacing w:before="0" w:after="0"/>
        <w:ind w:left="0" w:right="0" w:hanging="0"/>
        <w:jc w:val="left"/>
        <w:rPr>
          <w:caps w:val="false"/>
          <w:smallCaps w:val="false"/>
        </w:rPr>
      </w:pPr>
      <w:r>
        <w:rPr>
          <w:caps w:val="false"/>
          <w:smallCaps w:val="false"/>
        </w:rPr>
        <w:t> </w:t>
      </w:r>
    </w:p>
    <w:tbl>
      <w:tblPr>
        <w:tblW w:w="2835" w:type="dxa"/>
        <w:jc w:val="left"/>
        <w:tblInd w:w="0" w:type="dxa"/>
        <w:tblLayout w:type="fixed"/>
        <w:tblCellMar>
          <w:top w:w="0" w:type="dxa"/>
          <w:left w:w="0" w:type="dxa"/>
          <w:bottom w:w="0" w:type="dxa"/>
          <w:right w:w="0" w:type="dxa"/>
        </w:tblCellMar>
      </w:tblPr>
      <w:tblGrid>
        <w:gridCol w:w="650"/>
        <w:gridCol w:w="2110"/>
        <w:gridCol w:w="75"/>
      </w:tblGrid>
      <w:tr>
        <w:trPr/>
        <w:tc>
          <w:tcPr>
            <w:tcW w:w="2760" w:type="dxa"/>
            <w:gridSpan w:val="2"/>
            <w:tcBorders/>
            <w:vAlign w:val="center"/>
          </w:tcPr>
          <w:p>
            <w:pPr>
              <w:pStyle w:val="TableContents"/>
              <w:bidi w:val="0"/>
              <w:spacing w:before="0" w:after="283"/>
              <w:jc w:val="left"/>
              <w:rPr>
                <w:b/>
                <w:sz w:val="20"/>
              </w:rPr>
            </w:pPr>
            <w:r>
              <w:rPr>
                <w:b/>
                <w:sz w:val="20"/>
              </w:rPr>
              <w:t xml:space="preserve">AGREED AND </w:t>
            </w:r>
            <w:r>
              <w:rPr>
                <w:b/>
                <w:spacing w:val="-2"/>
                <w:sz w:val="20"/>
              </w:rPr>
              <w:t>ACCEPTED:</w:t>
            </w:r>
          </w:p>
        </w:tc>
        <w:tc>
          <w:tcPr>
            <w:tcW w:w="75" w:type="dxa"/>
            <w:tcBorders/>
            <w:vAlign w:val="center"/>
          </w:tcPr>
          <w:p>
            <w:pPr>
              <w:pStyle w:val="TableContents"/>
              <w:bidi w:val="0"/>
              <w:spacing w:before="0" w:after="283"/>
              <w:jc w:val="left"/>
              <w:rPr/>
            </w:pPr>
            <w:r>
              <w:rPr/>
              <w:t> </w:t>
            </w:r>
          </w:p>
        </w:tc>
      </w:tr>
      <w:tr>
        <w:trPr/>
        <w:tc>
          <w:tcPr>
            <w:tcW w:w="276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60" w:type="dxa"/>
            <w:gridSpan w:val="2"/>
            <w:tcBorders>
              <w:bottom w:val="single" w:sz="8" w:space="0" w:color="000000"/>
            </w:tcBorders>
            <w:tcMar>
              <w:bottom w:w="28" w:type="dxa"/>
            </w:tcMar>
            <w:vAlign w:val="center"/>
          </w:tcPr>
          <w:p>
            <w:pPr>
              <w:pStyle w:val="TableContents"/>
              <w:bidi w:val="0"/>
              <w:spacing w:before="0" w:after="283"/>
              <w:jc w:val="left"/>
              <w:rPr>
                <w:b/>
                <w:sz w:val="20"/>
              </w:rPr>
            </w:pPr>
            <w:r>
              <w:rPr>
                <w:b/>
                <w:sz w:val="20"/>
              </w:rPr>
              <w:t>/s/ Davison Andrew Gordon</w:t>
            </w:r>
          </w:p>
        </w:tc>
        <w:tc>
          <w:tcPr>
            <w:tcW w:w="7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sz w:val="20"/>
              </w:rPr>
            </w:pPr>
            <w:r>
              <w:rPr>
                <w:sz w:val="20"/>
              </w:rPr>
              <w:t xml:space="preserve">Name:  </w:t>
            </w:r>
          </w:p>
        </w:tc>
        <w:tc>
          <w:tcPr>
            <w:tcW w:w="21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Davison Andrew </w:t>
            </w:r>
            <w:r>
              <w:rPr>
                <w:rFonts w:ascii="Times New Roman;Times;Serif" w:hAnsi="Times New Roman;Times;Serif"/>
                <w:b/>
                <w:spacing w:val="-2"/>
                <w:sz w:val="20"/>
              </w:rPr>
              <w:t>Gordon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 w:name="yyforceex99-1.htm"/>
      <w:bookmarkStart w:id="5" w:name="ksyyforceex991"/>
      <w:bookmarkEnd w:id="4"/>
      <w:bookmarkEnd w:id="5"/>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105025" cy="7715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3"/>
                    <a:stretch>
                      <a:fillRect/>
                    </a:stretch>
                  </pic:blipFill>
                  <pic:spPr bwMode="auto">
                    <a:xfrm>
                      <a:off x="0" y="0"/>
                      <a:ext cx="2105025" cy="7715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YYForce Appoints Andrew Davison as Chief Strategic Officer to Accelerate Corporate Growth and Operational Scaling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Former Lancia Consult and Morgan Stanley executive joins to scale international operations and platform capabilities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Sept. 9, 2026 /PRNewswire/ -- YYForce Inc. (NASDAQ: YFOR) (“YYForce” or the “Company”), an AI-enabled workforce management platform and integrated facility management (IFM) provider operating across Asia and beyond, announced the appointment of Andrew Davison as Chief Strategic Officer (CSO), effective September 14, 2026. In his new role, Mr. Davison will spearhead YYForce’s corporate strategy, direct portfolio governance, and oversee operational scaling initiatives to support the company’s next phase of market expansion across international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Davison brings over 20 years of executive leadership experience spanning the APAC, EMEA, UK, and US markets, specializing in commercial strategy, scaling high-performing teams, financial management, margin and risk control, and complex cross-functional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4076700" cy="26098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4"/>
                    <a:stretch>
                      <a:fillRect/>
                    </a:stretch>
                  </pic:blipFill>
                  <pic:spPr bwMode="auto">
                    <a:xfrm>
                      <a:off x="0" y="0"/>
                      <a:ext cx="4076700" cy="26098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Davison, Chief Strategic Officer of YYForce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joining YYForce, Mr. Davison served as Director and Head of Transformational Delivery (APAC) at Lancia Consult in Singapore, where he directed regional delivery performance, portfolio health, and capability building to scale the business across multiple markets. During his tenure, he established the firm’s Jakarta presence, designed regional delivery operating models, and provided executive-level operational due diligence and investment evaluation for private equity and corporate clients.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 extensive professional background also includes senior advisory and consulting roles as a Senior Principal Consultant at Slalom Consulting in London, where he led enterprise digital enablement and multi-market change strategies, and as a Principal Financial Services Transformation Consultant at BCS Consulting, where he managed large-scale regulatory remediation, risk management programs, and operational transformations for global financial institutions such as HSBC, Credit Suisse, and Morgan Stanley. He began his career managing institutional client relationships and trading operations at Morgan Stanley. Mr. Davison holds a BCom (Hons) in Business Studies and Economics from the University of Edinburgh and has completed executive training in Strategic Leadership with AI &amp; ML at Singapore Management University.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thrilled to welcome Andrew to the executive leadership team at YYForce,” said Mike Fu, CEO of YYForce. “Andrew’s exceptional track record in scaling organizations, driving rigorous commercial discipline, and executing complex operational transformations makes him the ideal leader to guide our strategic initiatives as we continue to scale our operations and maximize stakeholder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 am excited to join YYForce at such a pivotal stage of growth,” said Andrew Davison, Chief Strategic Officer of YYForce. “The company has demonstrated remarkable agility and innovation in its markets. I look forward to partnering with the leadership team to sharpen our strategic roadmap, optimize operational execution, and drive sustainable, long-term value for our clients, partners, and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YYForce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YYForce Inc. (Nasdaq: YFOR) is an AI-enabled workforce management platform and IFM provider, headquartered in Singapore and operating across Asia and beyond. The Company’s intelligent workforce solutions platform, YY Circle, helps clients across hospitality, food and beverage, retail, and other service sectors predict, plan, and optimize workforce deployment. In YYForce’s IFM business, its 24IFM software platform and comprehensive IFM subsidiary portfolio support clients across hospitality, transportation, banking, retail, and mixed-use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both business lines scale, the Company is systematically embedding AI and automation capabilities – progressing from intelligent decision support toward increasingly autonomous workforce management – to improve service quality, reduce deployment costs, and drive long-term margin expansion. Listed on the Nasdaq Capital Market, YYForce is committed to infrastructure innovation, measurable client outcomes, and long-term value creation.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Section 27A of the Securities Act of 1933, as amended, and Section 21E of the Securities Exchange Act of 1934, as amended. The Company bases these forward-looking statements on its expectations and projections about future events, which the Company derives from the information currently available to it. You can identify forward-looking statements by those that are not historical in nature, particularly those that use terminology such as “may,” “should,” “expects,” “anticipates,” “contemplates,” “estimates,” “believes,” “plans,” “projected,” “predicts,” “potential,” or “hopes” or the negative of these or similar terms. Forward-looking statements involve inherent risks and uncertainties, and the forward-looking events discussed in this press release may not occur, and actual events and results may differ materially and are subject to risks, uncertainties, and assumptions about the Company and a number of factors. These factors include, but are not limited to, the Company’s goals and strategies; the Company’s future business development, financial condition and results of operations, including the introduction of new products and services, expected changes in the Company’s revenues, costs and expenditures, anticipated customer growth, and demand for and market acceptance of the Company’s products and services; and industry, market and regulatory conditions, including competition, government policies and regulations affecting the Company’s industry, and other factors that may affect the Company’s financial condition, liquidity and results of operations. For a more detailed discussion of risk factors, please refer to the Company’s filings with the Securities and Exchange Commission, including the “Risk Factors” section of the Company’s most recent annual report on Form 20-F,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Jason Zhi Yong Phua, Chief Financial Officer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YYForce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enquiries@yyforce.ai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Amber Smoke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Piacente Group,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amber@thepiacentegroup.com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85337/000118518526002899/yyghf3070926.htm" TargetMode="External"/><Relationship Id="rId3" Type="http://schemas.openxmlformats.org/officeDocument/2006/relationships/hyperlink" Target="https://www.sec.gov/Archives/edgar/data/1985337/000121390025034645/ea0238787-f3_yygroup.htm" TargetMode="External"/><Relationship Id="rId4" Type="http://schemas.openxmlformats.org/officeDocument/2006/relationships/hyperlink" Target="https://www.sec.gov/Archives/edgar/data/1985337/000121390024104096/ea0222154-s8_yygroup.htm" TargetMode="External"/><Relationship Id="rId5" Type="http://schemas.openxmlformats.org/officeDocument/2006/relationships/hyperlink" Target="https://www.sec.gov/Archives/edgar/data/1985337/000121390025007107/ea0228838-s8_yygroup.htm" TargetMode="External"/><Relationship Id="rId6" Type="http://schemas.openxmlformats.org/officeDocument/2006/relationships/hyperlink" Target="https://www.sec.gov/Archives/edgar/data/1985337/000121390024104096/ea0222154-s8_yygroup.htm" TargetMode="External"/><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2.jpeg"/><Relationship Id="rId14" Type="http://schemas.openxmlformats.org/officeDocument/2006/relationships/image" Target="media/image3.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4854</Words>
  <Characters>28023</Characters>
  <CharactersWithSpaces>32889</CharactersWithSpaces>
  <Paragraphs>334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