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yyghf3070926.htm"/>
      <w:bookmarkStart w:id="1" w:name="ksyyghf3070926"/>
      <w:bookmarkEnd w:id="0"/>
      <w:bookmarkEnd w:id="1"/>
      <w:r>
        <w:rPr>
          <w:rFonts w:ascii="Times New Roman;Times;Serif" w:hAnsi="Times New Roman;Times;Serif"/>
          <w:b/>
          <w:i w:val="false"/>
          <w:caps w:val="false"/>
          <w:smallCaps w:val="false"/>
          <w:sz w:val="20"/>
        </w:rPr>
        <w:t>As filed with the Securities and Exchange Commission on July 10,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2930"/>
        <w:gridCol w:w="60"/>
        <w:gridCol w:w="1775"/>
      </w:tblGrid>
      <w:tr>
        <w:trPr/>
        <w:tc>
          <w:tcPr>
            <w:tcW w:w="2930" w:type="dxa"/>
            <w:tcBorders>
              <w:bottom w:val="single" w:sz="8" w:space="0" w:color="000000"/>
            </w:tcBorders>
            <w:vAlign w:val="center"/>
          </w:tcPr>
          <w:p>
            <w:pPr>
              <w:pStyle w:val="TableContents"/>
              <w:bidi w:val="0"/>
              <w:spacing w:before="0" w:after="283"/>
              <w:jc w:val="center"/>
              <w:rPr>
                <w:b/>
              </w:rPr>
            </w:pPr>
            <w:r>
              <w:rPr>
                <w:b/>
              </w:rPr>
              <w:t>British Virgin Islands</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r>
              <w:rPr>
                <w:b/>
              </w:rPr>
              <w:t>Not Applicable</w:t>
            </w:r>
          </w:p>
        </w:tc>
      </w:tr>
      <w:tr>
        <w:trPr/>
        <w:tc>
          <w:tcPr>
            <w:tcW w:w="2930"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9842 0085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Cogency Global Inc.</w:t>
        <w:br/>
        <w:t>122 East 42nd Street, 18th Floor</w:t>
        <w:br/>
        <w:t>New York, New York 10168</w:t>
        <w:br/>
        <w:t>United States</w:t>
        <w:br/>
        <w:t>(800) 221-0102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30"/>
        <w:gridCol w:w="60"/>
        <w:gridCol w:w="2495"/>
      </w:tblGrid>
      <w:tr>
        <w:trPr/>
        <w:tc>
          <w:tcPr>
            <w:tcW w:w="20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Zhi Yong (Jason) Phua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9842 0085</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b/>
                <w:sz w:val="20"/>
              </w:rPr>
            </w:pPr>
            <w:r>
              <w:rPr>
                <w:b/>
                <w:sz w:val="20"/>
              </w:rPr>
              <w:t>Wei Wang, Esq.</w:t>
              <w:br/>
              <w:t>1345 Avenue of the Americas</w:t>
              <w:br/>
              <w:t>New York, NY 10105</w:t>
              <w:br/>
              <w:t>Tel: (212) 370-1300</w:t>
              <w:br/>
              <w:t>Fax: (212) 370-7889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524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US$100,000,000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br/>
        <w:t>Debt Securities</w:t>
        <w:br/>
        <w:t>Warrants</w:t>
        <w:br/>
        <w:t>Subscription Rights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in one or more offerings, up to $100,000,000, in the aggregate, of Class A ordinary shares, debt securities, warrants, subscription rights and units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of YY Group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We may offer, issue and sell any combination of the securities described in this prospectus in different series, at times, in amounts, at prices and on terms to be determined at or prior to the time of each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as well as documents incorporated or deemed to be incorporated by reference in this prospectus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14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under the Jumpstart Our Business Startups Act of 2012 and a “foreign private issuer” as defined in Rule 12b-2 of the Securities Exchange Act of 1934, as amended, and, as such, may elect to comply with certain reduced public company reporting requirements for this prospectus and future filings. See “</w:t>
      </w:r>
      <w:r>
        <w:rPr>
          <w:rFonts w:ascii="Times New Roman;Times;Serif" w:hAnsi="Times New Roman;Times;Serif"/>
          <w:b w:val="false"/>
          <w:i/>
          <w:caps w:val="false"/>
          <w:smallCaps w:val="false"/>
          <w:sz w:val="20"/>
        </w:rPr>
        <w:t xml:space="preserve">Prospectus Summary — Implications of Being an Emerging Growth Company”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Prospectus Summary — Implications of Being a Foreign Private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consist of Class A ordinary shares and Class B ordinary shares. In respect of matters requiring the votes of shareholders, holders of Class A ordinary shares are entitled to one vote per share, while holders of Class B ordinary shares are entitled to 500 votes per share based on our dual-class share structure. Class A ordinary share or Class B ordinary share are not convertible to any other class of share at any time under any circumstances. See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Xiaowei Fu, our Chairman, Executive Director, and Chief Executive Officer, currently beneficially owns an aggregate of 99.87% of our voting power, as of the date of this prospectus. Mr. Fu has control over the outcome of any corporate transactions or other matters submitted to the shareholders for approval. See “</w:t>
      </w:r>
      <w:r>
        <w:rPr>
          <w:rFonts w:ascii="Times New Roman;Times;Serif" w:hAnsi="Times New Roman;Times;Serif"/>
          <w:b w:val="false"/>
          <w:i/>
          <w:caps w:val="false"/>
          <w:smallCaps w:val="false"/>
          <w:sz w:val="20"/>
        </w:rPr>
        <w:t>Prospectus Summary — Implications of Being a Controlled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3D. Risk Factors — Risks Related to Ownership of our Ordinary Shares — Our controlling shareholder has substantial influence over the Company. Its interests may not be aligned with the interests of our other shareholders, and it could prevent or cause a change of control or other transactions.</w:t>
      </w:r>
      <w:r>
        <w:rPr>
          <w:rFonts w:ascii="Times New Roman;Times;Serif" w:hAnsi="Times New Roman;Times;Serif"/>
          <w:b w:val="false"/>
          <w:i w:val="false"/>
          <w:caps w:val="false"/>
          <w:smallCaps w:val="false"/>
          <w:sz w:val="20"/>
        </w:rPr>
        <w:t>” in our Annual Report on Form 20-F for the fiscal year ended December 31, 2025, filed with the Securities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21, 2026, as amended by Amendment No. 1 to Form 20-F filed with the SEC on April 24, 2026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 which is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Mr. Fu’s significant ownership, we are deemed a “controlled company” under Nasdaq listing rules. Although we do not intend to rely on the “controlled company” exemption under the Nasdaq listing rules, we could elect to rely on this exemption in the future. If we elected to rely on the “controlled company” exemption, the investors would not have the same protection afforded to shareholders of companies that are subject to these corporate governance requirements. Our status as a controlled company could cause our Class A ordinary shares to look less attractive to certain investors or otherwise harm the trading price of our Class A ordinary shares. See “</w:t>
      </w:r>
      <w:r>
        <w:rPr>
          <w:rFonts w:ascii="Times New Roman;Times;Serif" w:hAnsi="Times New Roman;Times;Serif"/>
          <w:b w:val="false"/>
          <w:i/>
          <w:caps w:val="false"/>
          <w:smallCaps w:val="false"/>
          <w:sz w:val="20"/>
        </w:rPr>
        <w:t>Prospectus Summary — Implications of Being a Controlled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3D. Risk Factors — Risks Related to our Securities — As a “controlled company” under the rules of Nasdaq Capital Market, we may choose to exempt our Company from certain corporate governance requirements that could have an adverse effect on our public shareholders.</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traded on the Nasdaq Capital Market under the symbol “YYGH.” The last reported sale price for ordinary shares on July 9, 2026 as quoted on the Nasdaq Capital Market was $1.37 per share. The applicable prospectus supplement will contain information, where applicable, as to the listing, if any, on Nasdaq or any other securities market or other securities exchange of the securities covered by such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The risks could result in a material change in the value of the securities we are registering for sale or could significantly limit or completely hinder our ability to continue to offer securities to investors. The securities offered in this prospectus are shares of our British Virgin Islands holding company, which has no material operations of its own and conducts its operations through our operating entities established in Singapore, Malaysia, Thailand, Vietnam, and Hong Kong, among others.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of this prospectus and the section entitled “</w:t>
      </w:r>
      <w:r>
        <w:rPr>
          <w:rFonts w:ascii="Times New Roman;Times;Serif" w:hAnsi="Times New Roman;Times;Serif"/>
          <w:b w:val="false"/>
          <w:i/>
          <w:caps w:val="false"/>
          <w:smallCaps w:val="false"/>
          <w:sz w:val="20"/>
        </w:rPr>
        <w:t>Item 3D. Risk Factors</w:t>
      </w:r>
      <w:r>
        <w:rPr>
          <w:rFonts w:ascii="Times New Roman;Times;Serif" w:hAnsi="Times New Roman;Times;Serif"/>
          <w:b w:val="false"/>
          <w:i w:val="false"/>
          <w:caps w:val="false"/>
          <w:smallCaps w:val="false"/>
          <w:sz w:val="20"/>
        </w:rPr>
        <w:t>” in our 2025 Annual Report incorporated by reference in this prospectus.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60"/>
        <w:gridCol w:w="530"/>
      </w:tblGrid>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8045" w:type="dxa"/>
            <w:tcBorders/>
            <w:shd w:fill="FFFF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ii</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iv</w:t>
            </w:r>
          </w:p>
        </w:tc>
      </w:tr>
      <w:tr>
        <w:trPr/>
        <w:tc>
          <w:tcPr>
            <w:tcW w:w="8045" w:type="dxa"/>
            <w:tcBorders/>
            <w:shd w:fill="FFFFFF" w:val="clear"/>
            <w:vAlign w:val="center"/>
          </w:tcPr>
          <w:p>
            <w:pPr>
              <w:pStyle w:val="TableContents"/>
              <w:bidi w:val="0"/>
              <w:spacing w:before="0" w:after="283"/>
              <w:jc w:val="left"/>
              <w:rPr/>
            </w:pPr>
            <w:hyperlink w:anchor="a_003">
              <w:r>
                <w:rPr>
                  <w:rStyle w:val="InternetLink"/>
                </w:rPr>
                <w:t xml:space="preserve">PROSPECTUS SUMMARY </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 xml:space="preserve">DIVIDEND POLICY </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11</w:t>
            </w:r>
          </w:p>
        </w:tc>
      </w:tr>
      <w:tr>
        <w:trPr/>
        <w:tc>
          <w:tcPr>
            <w:tcW w:w="8045" w:type="dxa"/>
            <w:tcBorders/>
            <w:shd w:fill="FFFFFF" w:val="clear"/>
            <w:vAlign w:val="center"/>
          </w:tcPr>
          <w:p>
            <w:pPr>
              <w:pStyle w:val="TableContents"/>
              <w:bidi w:val="0"/>
              <w:spacing w:before="0" w:after="283"/>
              <w:jc w:val="left"/>
              <w:rPr/>
            </w:pPr>
            <w:hyperlink w:anchor="a_005">
              <w:r>
                <w:rPr>
                  <w:rStyle w:val="InternetLink"/>
                </w:rPr>
                <w:t xml:space="preserve">RISK FACTORS </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12</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8045" w:type="dxa"/>
            <w:tcBorders/>
            <w:shd w:fill="FFFFFF" w:val="clear"/>
            <w:vAlign w:val="center"/>
          </w:tcPr>
          <w:p>
            <w:pPr>
              <w:pStyle w:val="TableContents"/>
              <w:bidi w:val="0"/>
              <w:spacing w:before="0" w:after="283"/>
              <w:jc w:val="left"/>
              <w:rPr/>
            </w:pPr>
            <w:hyperlink w:anchor="a_007">
              <w:r>
                <w:rPr>
                  <w:rStyle w:val="InternetLink"/>
                </w:rPr>
                <w:t>CAPITALIZATION AND INDEBTEDNESS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14</w:t>
            </w:r>
          </w:p>
        </w:tc>
      </w:tr>
      <w:tr>
        <w:trPr/>
        <w:tc>
          <w:tcPr>
            <w:tcW w:w="8045" w:type="dxa"/>
            <w:tcBorders/>
            <w:shd w:fill="FFFFFF" w:val="clear"/>
            <w:vAlign w:val="center"/>
          </w:tcPr>
          <w:p>
            <w:pPr>
              <w:pStyle w:val="TableContents"/>
              <w:bidi w:val="0"/>
              <w:spacing w:before="0" w:after="283"/>
              <w:jc w:val="left"/>
              <w:rPr/>
            </w:pPr>
            <w:hyperlink w:anchor="a_010">
              <w:r>
                <w:rPr>
                  <w:rStyle w:val="InternetLink"/>
                </w:rPr>
                <w:t>DESCRIPTION OF ORDINARY SHARES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16</w:t>
            </w:r>
          </w:p>
        </w:tc>
      </w:tr>
      <w:tr>
        <w:trPr/>
        <w:tc>
          <w:tcPr>
            <w:tcW w:w="8045" w:type="dxa"/>
            <w:tcBorders/>
            <w:shd w:fill="FFFFFF" w:val="clear"/>
            <w:vAlign w:val="center"/>
          </w:tcPr>
          <w:p>
            <w:pPr>
              <w:pStyle w:val="TableContents"/>
              <w:bidi w:val="0"/>
              <w:spacing w:before="0" w:after="283"/>
              <w:jc w:val="left"/>
              <w:rPr/>
            </w:pPr>
            <w:hyperlink w:anchor="a_011">
              <w:r>
                <w:rPr>
                  <w:rStyle w:val="InternetLink"/>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16</w:t>
            </w:r>
          </w:p>
        </w:tc>
      </w:tr>
      <w:tr>
        <w:trPr/>
        <w:tc>
          <w:tcPr>
            <w:tcW w:w="8045" w:type="dxa"/>
            <w:tcBorders/>
            <w:shd w:fill="FFFFFF" w:val="clear"/>
            <w:vAlign w:val="center"/>
          </w:tcPr>
          <w:p>
            <w:pPr>
              <w:pStyle w:val="TableContents"/>
              <w:bidi w:val="0"/>
              <w:spacing w:before="0" w:after="283"/>
              <w:jc w:val="left"/>
              <w:rPr/>
            </w:pPr>
            <w:hyperlink w:anchor="a_012">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18</w:t>
            </w:r>
          </w:p>
        </w:tc>
      </w:tr>
      <w:tr>
        <w:trPr/>
        <w:tc>
          <w:tcPr>
            <w:tcW w:w="8045" w:type="dxa"/>
            <w:tcBorders/>
            <w:shd w:fill="FFFFFF" w:val="clear"/>
            <w:vAlign w:val="center"/>
          </w:tcPr>
          <w:p>
            <w:pPr>
              <w:pStyle w:val="TableContents"/>
              <w:bidi w:val="0"/>
              <w:spacing w:before="0" w:after="283"/>
              <w:jc w:val="left"/>
              <w:rPr/>
            </w:pPr>
            <w:hyperlink w:anchor="a_013">
              <w:r>
                <w:rPr>
                  <w:rStyle w:val="InternetLink"/>
                </w:rPr>
                <w:t>DESCRIPTION OF SUBSCRIPTION RIGHTS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19</w:t>
            </w:r>
          </w:p>
        </w:tc>
      </w:tr>
      <w:tr>
        <w:trPr/>
        <w:tc>
          <w:tcPr>
            <w:tcW w:w="8045" w:type="dxa"/>
            <w:tcBorders/>
            <w:shd w:fill="FFFFFF" w:val="clear"/>
            <w:vAlign w:val="center"/>
          </w:tcPr>
          <w:p>
            <w:pPr>
              <w:pStyle w:val="TableContents"/>
              <w:bidi w:val="0"/>
              <w:spacing w:before="0" w:after="283"/>
              <w:jc w:val="left"/>
              <w:rPr/>
            </w:pPr>
            <w:hyperlink w:anchor="a_014">
              <w:r>
                <w:rPr>
                  <w:rStyle w:val="InternetLink"/>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20</w:t>
            </w:r>
          </w:p>
        </w:tc>
      </w:tr>
      <w:tr>
        <w:trPr/>
        <w:tc>
          <w:tcPr>
            <w:tcW w:w="8045" w:type="dxa"/>
            <w:tcBorders/>
            <w:shd w:fill="FFFFFF" w:val="clear"/>
            <w:vAlign w:val="center"/>
          </w:tcPr>
          <w:p>
            <w:pPr>
              <w:pStyle w:val="TableContents"/>
              <w:bidi w:val="0"/>
              <w:spacing w:before="0" w:after="283"/>
              <w:jc w:val="left"/>
              <w:rPr/>
            </w:pPr>
            <w:hyperlink w:anchor="a_015">
              <w:r>
                <w:rPr>
                  <w:rStyle w:val="InternetLink"/>
                </w:rPr>
                <w:t>EXPENSES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hyperlink w:anchor="a_016">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hyperlink w:anchor="a_017">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hyperlink w:anchor="a_018">
              <w:r>
                <w:rPr>
                  <w:rStyle w:val="InternetLink"/>
                </w:rPr>
                <w:t>ENFORCEMENT OF CIVIL LIABILITIES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22</w:t>
            </w:r>
          </w:p>
        </w:tc>
      </w:tr>
      <w:tr>
        <w:trPr/>
        <w:tc>
          <w:tcPr>
            <w:tcW w:w="8045" w:type="dxa"/>
            <w:tcBorders/>
            <w:shd w:fill="FFFFFF" w:val="clear"/>
            <w:vAlign w:val="center"/>
          </w:tcPr>
          <w:p>
            <w:pPr>
              <w:pStyle w:val="TableContents"/>
              <w:bidi w:val="0"/>
              <w:spacing w:before="0" w:after="283"/>
              <w:jc w:val="left"/>
              <w:rPr/>
            </w:pPr>
            <w:hyperlink w:anchor="a_019">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23</w:t>
            </w:r>
          </w:p>
        </w:tc>
      </w:tr>
      <w:tr>
        <w:trPr/>
        <w:tc>
          <w:tcPr>
            <w:tcW w:w="8045" w:type="dxa"/>
            <w:tcBorders/>
            <w:shd w:fill="FFFFFF" w:val="clear"/>
            <w:vAlign w:val="center"/>
          </w:tcPr>
          <w:p>
            <w:pPr>
              <w:pStyle w:val="TableContents"/>
              <w:bidi w:val="0"/>
              <w:spacing w:before="0" w:after="283"/>
              <w:jc w:val="left"/>
              <w:rPr/>
            </w:pPr>
            <w:hyperlink w:anchor="a_020">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23</w:t>
            </w:r>
          </w:p>
        </w:tc>
      </w:tr>
      <w:tr>
        <w:trPr/>
        <w:tc>
          <w:tcPr>
            <w:tcW w:w="8045" w:type="dxa"/>
            <w:tcBorders/>
            <w:shd w:fill="FFFFFF" w:val="clear"/>
            <w:vAlign w:val="center"/>
          </w:tcPr>
          <w:p>
            <w:pPr>
              <w:pStyle w:val="TableContents"/>
              <w:bidi w:val="0"/>
              <w:spacing w:before="0" w:after="283"/>
              <w:jc w:val="left"/>
              <w:rPr/>
            </w:pPr>
            <w:hyperlink w:anchor="a_021">
              <w:r>
                <w:rPr>
                  <w:rStyle w:val="InternetLink"/>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045" w:type="dxa"/>
            <w:tcBorders/>
            <w:shd w:fill="FFFFFF" w:val="clear"/>
            <w:vAlign w:val="center"/>
          </w:tcPr>
          <w:p>
            <w:pPr>
              <w:pStyle w:val="TableContents"/>
              <w:bidi w:val="0"/>
              <w:spacing w:before="0" w:after="283"/>
              <w:jc w:val="left"/>
              <w:rPr/>
            </w:pPr>
            <w:hyperlink w:anchor="a_022">
              <w:r>
                <w:rPr>
                  <w:rStyle w:val="InternetLink"/>
                </w:rPr>
                <w:t>MATERIAL CHANGES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utilizing a “shelf” registration process. We may offer and sell the securities described in this prospectus from time to time in one or more offerings on a continuous or delayed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We have not authorized anyone to provide any other information. We are offering the securities only where offers and sales are permitted. We are not offering the securities in any jurisdiction where the offer or sale is not permitted or to any person to whom it is unlawful to make such an offer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(as supplemented or amended) is accurate on any date subsequent to the date set forth on the front of the document or that any information we have incorporated by reference is correct on any date subsequent to the date of the document incorporated by reference, even though this prospectus (as supplemented or amended)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defined terms that we use throughout this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w:t>
            </w:r>
            <w:r>
              <w:rPr>
                <w:rFonts w:ascii="Times New Roman;Times;Serif" w:hAnsi="Times New Roman;Times;Serif"/>
                <w:sz w:val="20"/>
              </w:rPr>
              <w:t>24IFM” means 24IFM Pte. Ltd., a private company limited by shares incorporated in Singapore.</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sz w:val="20"/>
              </w:rPr>
              <w:t>Amended and Restated Memorandum and Articles of Association” means the memorandum and articles of association of our Company as amended and restated by a resolution of shareholders passed on November 3, 2023 and filed on November 10, 2023, and further amended and restated by a resolution of shareholders passed on December 31, 2025, and filed on January 16, 2026, and as amended and / or restated (as the case may be) from time to time.</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2"/>
        <w:gridCol w:w="9591"/>
      </w:tblGrid>
      <w:tr>
        <w:trPr/>
        <w:tc>
          <w:tcPr>
            <w:tcW w:w="1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w:t>
            </w:r>
          </w:p>
        </w:tc>
        <w:tc>
          <w:tcPr>
            <w:tcW w:w="9591" w:type="dxa"/>
            <w:tcBorders/>
            <w:vAlign w:val="center"/>
          </w:tcPr>
          <w:p>
            <w:pPr>
              <w:pStyle w:val="TableContents"/>
              <w:bidi w:val="0"/>
              <w:spacing w:before="0" w:after="283"/>
              <w:jc w:val="both"/>
              <w:rPr/>
            </w:pPr>
            <w:r>
              <w:rPr/>
              <w:t>“</w:t>
            </w:r>
            <w:r>
              <w:rPr>
                <w:rFonts w:ascii="Times New Roman;Times;Serif" w:hAnsi="Times New Roman;Times;Serif"/>
                <w:sz w:val="20"/>
              </w:rPr>
              <w:t>BVI” means the British Virgin Islands.</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means a class of shares of the Company with no par value and entitled to one (1) vote per share.</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means a class of shares of the Company with no par value and entitled to five hundred (500) votes per share.</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w:t>
            </w:r>
            <w:r>
              <w:rPr>
                <w:rFonts w:ascii="Times New Roman;Times;Serif" w:hAnsi="Times New Roman;Times;Serif"/>
                <w:sz w:val="20"/>
              </w:rPr>
              <w:t>Companies Act” means the BVI Business Companies Act, 2020 Revised Edition of the BVI.</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7"/>
        <w:gridCol w:w="9867"/>
      </w:tblGrid>
      <w:tr>
        <w:trPr/>
        <w:tc>
          <w:tcPr>
            <w:tcW w:w="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w:t>
            </w:r>
          </w:p>
        </w:tc>
        <w:tc>
          <w:tcPr>
            <w:tcW w:w="9867" w:type="dxa"/>
            <w:tcBorders/>
            <w:vAlign w:val="center"/>
          </w:tcPr>
          <w:p>
            <w:pPr>
              <w:pStyle w:val="TableContents"/>
              <w:bidi w:val="0"/>
              <w:spacing w:before="0" w:after="283"/>
              <w:jc w:val="both"/>
              <w:rPr/>
            </w:pPr>
            <w:r>
              <w:rPr/>
              <w:t>“</w:t>
            </w:r>
            <w:r>
              <w:rPr>
                <w:rFonts w:ascii="Times New Roman;Times;Serif" w:hAnsi="Times New Roman;Times;Serif"/>
                <w:sz w:val="20"/>
              </w:rPr>
              <w:t>Exchange Act” means The Securities Exchange Act of 1934, as amended.</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sz w:val="20"/>
              </w:rPr>
              <w:t>MVG” means Mediaplus Venture Group Pte. Ltd., a BVI company and its subsidiaries. The subsidiaries are Mediaplus Digital Pte. Ltd.,  a private company limited by shares incorporated in Singapore; Mediaplus Digital Sdn. Bhd., a private company limited by shares incorporated in Malaysia; Mplus Elite Pte. Ltd.,  a private company limited by shares incorporated in Singapore and M Synergates Pte. Ltd.,  a private company limited by shares incorporated in Singapore.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2"/>
        <w:gridCol w:w="9701"/>
      </w:tblGrid>
      <w:tr>
        <w:trPr/>
        <w:tc>
          <w:tcPr>
            <w:tcW w:w="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1" w:type="dxa"/>
            <w:tcBorders/>
            <w:vAlign w:val="center"/>
          </w:tcPr>
          <w:p>
            <w:pPr>
              <w:pStyle w:val="TableContents"/>
              <w:bidi w:val="0"/>
              <w:spacing w:before="0" w:after="283"/>
              <w:jc w:val="both"/>
              <w:rPr/>
            </w:pPr>
            <w:r>
              <w:rPr/>
              <w:t>“</w:t>
            </w:r>
            <w:r>
              <w:rPr>
                <w:rFonts w:ascii="Times New Roman;Times;Serif" w:hAnsi="Times New Roman;Times;Serif"/>
                <w:sz w:val="20"/>
              </w:rPr>
              <w:t>Nasdaq” means The Nasdaq Stock Market LLC.</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00"/>
        <w:gridCol w:w="9839"/>
      </w:tblGrid>
      <w:tr>
        <w:trPr/>
        <w:tc>
          <w:tcPr>
            <w:tcW w:w="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9" w:type="dxa"/>
            <w:tcBorders/>
            <w:vAlign w:val="center"/>
          </w:tcPr>
          <w:p>
            <w:pPr>
              <w:pStyle w:val="TableContents"/>
              <w:bidi w:val="0"/>
              <w:spacing w:before="0" w:after="283"/>
              <w:jc w:val="both"/>
              <w:rPr/>
            </w:pPr>
            <w:r>
              <w:rPr/>
              <w:t>“</w:t>
            </w:r>
            <w:r>
              <w:rPr>
                <w:rFonts w:ascii="Times New Roman;Times;Serif" w:hAnsi="Times New Roman;Times;Serif"/>
                <w:sz w:val="20"/>
              </w:rPr>
              <w:t>PCAOB” means</w:t>
              <w:tab/>
              <w:t>The Public Company Accounting Oversight Board.</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w:t>
            </w:r>
            <w:r>
              <w:rPr>
                <w:rFonts w:ascii="Times New Roman;Times;Serif" w:hAnsi="Times New Roman;Times;Serif"/>
                <w:sz w:val="20"/>
              </w:rPr>
              <w:t>PFS” means Property Facility Services Pte. Ltd., a Singapore private company limited by shares.</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5"/>
        <w:gridCol w:w="9820"/>
      </w:tblGrid>
      <w:tr>
        <w:trPr/>
        <w:tc>
          <w:tcPr>
            <w:tcW w:w="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w:t>
            </w:r>
          </w:p>
        </w:tc>
        <w:tc>
          <w:tcPr>
            <w:tcW w:w="9820" w:type="dxa"/>
            <w:tcBorders/>
            <w:vAlign w:val="center"/>
          </w:tcPr>
          <w:p>
            <w:pPr>
              <w:pStyle w:val="TableContents"/>
              <w:bidi w:val="0"/>
              <w:spacing w:before="0" w:after="283"/>
              <w:jc w:val="both"/>
              <w:rPr/>
            </w:pPr>
            <w:r>
              <w:rPr/>
              <w:t>“</w:t>
            </w:r>
            <w:r>
              <w:rPr>
                <w:rFonts w:ascii="Times New Roman;Times;Serif" w:hAnsi="Times New Roman;Times;Serif"/>
                <w:sz w:val="20"/>
              </w:rPr>
              <w:t>RM” means Malaysian ringgit, the lawful currency of Malaysia.</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w:t>
            </w:r>
            <w:r>
              <w:rPr>
                <w:rFonts w:ascii="Times New Roman;Times;Serif" w:hAnsi="Times New Roman;Times;Serif"/>
                <w:sz w:val="20"/>
              </w:rPr>
              <w:t>S$” or “SGD” means Singapore dollar(s), the lawful currency of Singapore.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pPr>
            <w:r>
              <w:rPr/>
              <w:t>“</w:t>
            </w:r>
            <w:r>
              <w:rPr>
                <w:rFonts w:ascii="Times New Roman;Times;Serif" w:hAnsi="Times New Roman;Times;Serif"/>
                <w:sz w:val="20"/>
              </w:rPr>
              <w:t>SEC” means the United States Securities and Exchange Commission.</w:t>
            </w:r>
          </w:p>
        </w:tc>
      </w:tr>
    </w:tbl>
    <w:p>
      <w:pPr>
        <w:pStyle w:val="TextBody"/>
        <w:bidi w:val="0"/>
        <w:spacing w:before="0" w:after="0"/>
        <w:ind w:left="0" w:right="0" w:firstLine="7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5"/>
        <w:gridCol w:w="9808"/>
      </w:tblGrid>
      <w:tr>
        <w:trPr/>
        <w:tc>
          <w:tcPr>
            <w:tcW w:w="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both"/>
              <w:rPr/>
            </w:pPr>
            <w:r>
              <w:rPr/>
              <w:t>“</w:t>
            </w:r>
            <w:r>
              <w:rPr>
                <w:rFonts w:ascii="Times New Roman;Times;Serif" w:hAnsi="Times New Roman;Times;Serif"/>
                <w:sz w:val="20"/>
              </w:rPr>
              <w:t>Securities Act” means the Securities Act of 1933, as amended.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before="0" w:after="283"/>
              <w:jc w:val="both"/>
              <w:rPr/>
            </w:pPr>
            <w:r>
              <w:rPr/>
              <w:t>“</w:t>
            </w:r>
            <w:r>
              <w:rPr>
                <w:rFonts w:ascii="Times New Roman;Times;Serif" w:hAnsi="Times New Roman;Times;Serif"/>
                <w:sz w:val="20"/>
              </w:rPr>
              <w:t>US$” or “$” means United States dollar(s), the lawful currency of the United States of America.</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sz w:val="20"/>
              </w:rPr>
              <w:t>We,” the “Company”, “our company” means YY Group Holding Limited, a British Virgin Islands holding company, and together with all of its subsidiaries.</w:t>
            </w:r>
          </w:p>
        </w:tc>
      </w:tr>
    </w:tbl>
    <w:p>
      <w:pPr>
        <w:pStyle w:val="TextBody"/>
        <w:bidi w:val="0"/>
        <w:spacing w:before="0" w:after="0"/>
        <w:ind w:left="0" w:right="0" w:firstLine="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w:t>
            </w:r>
            <w:r>
              <w:rPr>
                <w:rFonts w:ascii="Times New Roman;Times;Serif" w:hAnsi="Times New Roman;Times;Serif"/>
                <w:sz w:val="20"/>
              </w:rPr>
              <w:t>YY Circle (HK)” means YY Circle (HK) Pte. Limited, a limited liability company incorporated in Hong Kong.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or may contain forward-looking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20-F and 6-K filed with the SEC. You should understand that it is not possible to predict or identify all risk factors. Consequently, you should not consider any such list to be a complete set of all potential risks or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5" w:name="a_003"/>
      <w:bookmarkEnd w:id="5"/>
      <w:r>
        <w:rPr>
          <w:rFonts w:ascii="Times New Roman;Times;Serif" w:hAnsi="Times New Roman;Times;Serif"/>
          <w:b/>
          <w:i w:val="false"/>
          <w:caps w:val="false"/>
          <w:smallCaps w:val="false"/>
          <w:sz w:val="20"/>
          <w:bdr w:val="single" w:sz="8" w:space="5" w:color="000000"/>
        </w:rPr>
        <w:t>PROSPECTUS SUMMARY</w:t>
      </w:r>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information contained elsewhere in this prospectus and incorporated by reference herein. This summary may not contain all the information that may be important to you, and we urge you to read this entire prospectus and the documents incorporated by reference herein carefully, including the sections entitled “Risk Factors” and “Cautionary Note Regarding Forward-Looking Statements” in this prospectus, the section entitled “Item 3.D. Risk Factors” in our 2025 Annual Report incorporated by reference in this prospectus, and our audited consolidated financial statements for the fiscal years ended December 31, 2025 and 2024 and related notes in our 2025 Annual Report incorporated by reference in this prospectus, before deciding to invest in our Class A ordinary shares.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Company Overview</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data and technology driven company focused on developing enterprise intelligent labor matching services and smart cleaning services founded in Singapore. Through our subsidiaries, we provide enterprise manpower outsourcing and smart cleaning services in Singapore, Malaysia and other countries.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our inception in 2010, we have established ourselves as a trusted and experienced manpower supplier in the traditional recruitment industry. In June 2019, we digitalized our traditional staffing processes by introducing our proprietary technology innovation of an online marketplace for manpower outsourcing, the YY Circle Super App (“YY App”). Our manpower outsourcing service segment is anchored by the YY App, which is a one-stop intelligent manpower outsourcing platform that simplifies and streamlines the staffing process for our customers. Our platform supports a growing online community and network of users looking for both part-time and full-time work from our customers that come from a broad range of industries including hotels, food and beverage, and private clubs. As of June 30, 2026, we have a total of 857 customers, with 218 customers in cleaning services business and 212 customers in the manpower outsourcing business. For the YY App, we recorded 998,575 downloads, and 303,348 total active users as of June 30, 2026, increasing from 903,952 downloads and 268,241 total active users recorded as of December 31, 2025. The daily, weekly, and monthly active users as of June 30, 2026 were 5,613, 15,584 and 35,743, respectively, and we have conversion and average retention rates of approximately 18.91% and 30.90%, respectively. The conversion rate is calculated by dividing the total number of registrations from the total number of downloads. The retention rate is calculated by dividing the total number of active users by the total number of registrations. The total number of man hours deployed approximated 14 million hours since our platform commenced operations in 2019. We believe that our diverse range of listings and comprehensive range of man-power related services, including hospitality, food and beverages, retails, logistics, and office administration, provides an effective channel for customers to market their job openings and for our users to find work arrangements that complement their schedules and provide them a reliable source of income.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2018, to complement our manpower outsourcing business segment, we established our professional cleaning business, serving a broad base of customers including food and beverage outlets, luxury shopping malls and 4–5-star hotels. We provide professional cleaning and janitorial services that are fully customizable to meet the specific requirements of our customers and regulators. Our range of services includes commercial cleaning for offices and schools, hospitality cleaning for hotels and shopping centers, industrial cleaning, facade cleaning, disinfection services, stewarding services for meetings, incentives, conferences, and exhibitions (“MICE”) and banquets, and pest control services. In addition, we offer cleaning robots and machines to enhance our cleaning performance by deploying them at designated premises. The cleaning services segment of our business is complemented by our YY Smart iClean App, which is an innovative smart toilet cleaning central management platform integrated with automated sensors and Internet of Things (“IoT”) devices that allows our customers to improve productivity, manage resources efficiently, and enjoy significant cost savings. The IoT technology provides real-time data insights, allowing our customers to track the usage of toilets and monitor the cleaning progress of our staff, ensuring the highest level of quality and efficiency in our services. As of June 30, 2026, we had 551 active cleaners, available to service our customers based on the existing cleaning engagements.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June 2026, as part of our efforts to explore new business opportunities and integrate advanced technology into our operations, we began deploying several humanoid robots within our facility management business. In parallel, our cleaning staff now wear data-collection devices during their shifts to capture detailed information about their work processes. The data collected is processed by our data training laboratories to develop and refine AI models that enable robots to perform the same tasks. This initiative is currently in its early stages, and we are continuing to evaluate and enhance the deployment strategy.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Recent Developments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Acquisitions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the period from January 2025 to July 2025, the Company completed a series of acquisition transactions, which are disclosed in the Company’s reports on Form 6-K and incorporated herein by reference, to acquire interests in the following entities, pursuant to their respective purchase agreements: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January 2, 2025, the Company completed the acquisition of 54% of the total share capital of Mediaplus Venture Group Pte Ltd, a leading digital marketing and web development firm based in Singapore and Malaysia, for consideration consisting of (1) a cash payment of S$1,325,000 and (2) 9,260 Class A ordinary shares (without giving effect to the reverse share splits in March 2026 and June 2026). Upon the completion of the acquisition, the Company issued 9,260 Class A ordinary shares (without giving effect to the reverse share splits in March 2026 and June 2026) to the shareholders of Mediaplus. The Company anticipates that this strategic acquisition will drive revenue growth over the next three years. This growth will be further supported by YY Group’s concurrent expansion into new markets with its manpower outsourcing business, demonstrating the Group’s commitment to sustained development and diversification.</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February 3, 2025, the Company completed the acquisition of 99.99997% of the total share capital of Property Facility Services Pte. Ltd. (“PFS”) for total consideration consisting of (1) a cash payment in the amount of S$816,000; (2) a deferred cash payment in the amount of S$784,000, payable twelve months from completion, subject to a downward adjustment of up to S$500,000 based on the net asset value of PFS as of December 31, 2024; and (3) 150,770 Class A ordinary shares (the “Consideration Shares”). This strategic acquisition strengthens our position in the Integrated Facility Management (IFM) industry and lays the groundwork for a transition to automated and digitalized facility management services. Pursuant to the supplemental letter to the SPA dated January 29, 2026, the remaining deferred cash consideration is to be settled in tranches (together with any applicable interest and agreed set-offs): S$262,600 became due on March 2, 2026; S$273,000 became due on June 30, 2026, which is expected to be paid by the end of July 2026; and SGD 285,120 will be due on September 30, 2026. With respect to the share consideration, the seller agreed to settle such consideration in cash of S$ 392,000 replacing the Consideration Shares, which amount is scheduled to be paid on April 15, 2026. On March 4, 2026, the Company paid  S$262,600 to the seller, together with interest accrued at 1% per month, in accordance with the amended payment terms.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April 14, 2025, the Company completed the acquisition of 90% of the total share capital of YY Circle (HK) for consideration of 1,900,000 Class A ordinary shares (without giving effect to the reverse share splits in March 2026 and June 2026) of the Company. Upon the completion of the acquisition, the Company issued 1,900,000 Class A ordinary shares (without giving effect to the reverse share splits in March 2026 and June 2026) of the Company to the shareholders of YY Circle (HK).</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April 21, 2025, the Company entered into an Asset Purchase Agreement (the “24iFM Agreement”) with a certain seller, pursuant to which the Company agreed to acquire the managing facilities application named as 24iFM, its related software licenses, and intellectual property rights from such seller, for consideration of 4,000,000 Class A ordinary shares (without giving effect to the reverse share splits in March 2026 and June 2026). On June 10, 2025, the Company completed the acquisition of the assets of 24iFM and issued 4,000,000 Class A ordinary shares (without giving effect to the reverse share splits in March 2026 and June 2026) to the seller.</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2, 2025, the Company completed the acquisition of 49% of the total share capital of YY Circle (TH) for consideration of 2,000,000 Class A ordinary shares (without giving effect to the reverse share splits in March 2026 and June 2026).</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5, 2025, the Company completed the acquisition of 100% of the total share capital of Uniforce Security Pte. Ltd. for a cash consideration of S$1,000,000.</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17, 2025, the Company completed the acquisition of 53% of the total share capital of TransOcean Oil Pte. Ltd. for a consideration of 4,500,000 Class A ordinary shares (without giving effect to the reverse share splits in March 2026 and June 2026) of the Company.</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July 1, 2025, the Company completed the acquisition of 100% of the total share capital of Pesticide Pest Control Pte Ltd. for consideration of S$150,000.</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Nasdaq Compliance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23, 2025, the Company received a letter from Nasdaq notifying the Company that the minimum closing bid price per share for its Class A ordinary shares was below $1.00 for a period of 30 consecutive business days and that the Company did not meet the minimum bid price requirement set forth in Nasdaq Listing Rule 5550(a)(2). The Nasdaq notification letter did not result in the immediate delisting of the Class A ordinary shares, and the shares continued to trade uninterrupted under the symbol “YYGH.” Pursuant to Nasdaq Listing Rule 5810(c)(3)(A), the Company had a compliance period of 180 calendar days, or until April 20, 2026, to regain compliance with Nasdaq’s minimum bid price requirement. On April 15, 2026, the Company received written notice from the Staff that the Company had regained compliance with the Minimum Bid Price Requirement. The Staff determined that for the sixteen (16) consecutive business days from March 23, 2026 to April 14, 2026, the Company was able to maintain a minimum bid price of $1.00 per share. The prior bid price deficiency matter is now closed.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Charter Amendments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31, 2025, the Company, by a resolution of the shareholders pursuant to Regulation 7.21 of the Company’s articles of association, approved and adopted the Amended and Restated Memorandum and Articles of Association of the Company to change the voting rights of the Company’s Class B ordinary shares from 20 votes per share to 500 votes per share. The shareholder resolution was approved by a majority of the holders of Class A ordinary shares of the Company. The Company filed the Amended and Restated Memorandum and Articles of Association with the Registry of Corporate Affairs of the British Virgin Islands on January 16,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Financings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bdr w:val="single" w:sz="8" w:space="5" w:color="000000"/>
        </w:rPr>
      </w:pPr>
      <w:r>
        <w:rPr>
          <w:rFonts w:ascii="Times New Roman;Times;Serif" w:hAnsi="Times New Roman;Times;Serif"/>
          <w:b w:val="false"/>
          <w:i/>
          <w:caps w:val="false"/>
          <w:smallCaps w:val="false"/>
          <w:sz w:val="20"/>
          <w:u w:val="single"/>
          <w:bdr w:val="single" w:sz="8" w:space="5" w:color="000000"/>
        </w:rPr>
        <w:t>September 2025 Offering</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10, 2025, the Company entered into a Securities Purchase Agreement, which was amended and restated on September 11, 2025, with certain institutional investors for a follow-on offering of 9,523,812 Class A ordinary shares (without giving effect to the reverse share splits in March 2026 and June 2026)(the “September 2025 Shares”), and warrants to purchase up to 14,285,718 Class A ordinary shares (without giving effect to the reverse share splits in March 2026 and June 2026)(the “September 2025 Warrants”). Each September 2025 Share was sold with 1.5 September 2025 Warrants, at a price of $$0.42 per Class A ordinary share (without giving effect to the reverse share splits in March 2026 and June 2026) and accompanied September 2025 Warrants. The September 2025 Warrants are exercisable immediately after the date of issuance at an exercise price of $0.50 per share (without giving effect to the reverse share splits in March 2026 and June 2026) and will have a term of 3.5 years after issuance. The Company also entered into a placement agency agreement, dated September 10, 2025, with FT Global Capital, Inc. to act as exclusive placement agent on a best efforts basis in connection with the offering, pursuant to which the Company agreed to pay the FT Global Capital, Inc. a cash fee equal to 7.5% of the gross proceeds raised in the offering and a non-accountable expense allowance of up to $45,000. The Company issued the September 2025 Shares and the September 2025 Warrants on September 11, 2025. The Company received gross proceeds, before deducting any fees or expenses, of approximately $4 million. The securities were offered and sold pursuant to an effective registration statement on Form F-3 (SEC File No. 333-286705), that was filed with the U.S. Securities and Exchange Commission on April 23, 2025, and declared effective on April 30, 2025 (the “F-3 Registration Statement”), the base prospectus filed as part of the Registration Statement, and the prospectus supplement dated September 10, 2025.</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27, 2026, the Company entered into warrant repurchase agreements with the holders of the September 2025 Warrants (the “Holders”), pursuant to which the Company repurchased all unexercised 14,285,718 (without giving effect to the reverse share splits in March 2026 and June 2026) September 2025 Warrants at a repurchase price of $0.06 per September 2025 Warrant (without giving effect to the reverse share splits in March 2026 and June 2026), for total purchase price of $857,143. The Company has also granted the Holders a participation right on a pro-rata basis of one third in any Subsequent Placement (as defined in the warrant repurchase agreements), subject to certain exemptions, undertaken by the Company for a period from the date of the warrant repurchase agreements to December 11,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Financings with Ault Lending and Its Affiliates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28, 2026, the Company issued a secured promissory note to Ault Lending, LLC in the principal amount of $1,100,000 for a purchase price of $1,000,000. The principal amount includes an original issuance discount of $80,000 and a one-time due diligence and structuring fee of $20,000. In connection with the promissory note, on January 28, 2026, Fu Xiaowei, the Company’s Chairman of Board and Chief Executive Officer, and Zhang Fan, the Company’s Executive Director (collectively, the “Pledgors” and each, a “Pledgor”), entered into a pledge agreement with the Ault Lending, LLC. Pursuant to the pledge agreement, the Pledgors pledged to Ault Lending, LLC 100% of the Class A ordinary shares and Class B ordinary shares of the Company held by the Pledgors (collectively, the “Pledged Shares”). The pledge agreement secures all of the Company’s obligations under the promissory note and grants Ault Lending, LLC a continuing, first-priority security interest in the Pledged Shares, including all associated substitutions, replacements, proceeds, and distributions, as well as all rights relating thereto. Upon the occurrence and continuance of certain events of default under the promissory note, Ault Lending, LLC is entitled to exercise customary secured party remedies with respect to the Pledged Shares, subject to applicable notice and cure provisions. In connection with the foregoing offering, Spartan received a placement fee in the amount of $70,000 for serving as placement agent of such offering. On March 4, 2026, the Company repaid the promissory note in full, including accrued interest, in an aggregate amount of $1,109,945.21 to Ault Lending, LLC.</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27, 2026, the Company entered into a securities purchase agreement with Ault Lending, LLC and a certain other institutional investor, pursuant to which the Company will offer and sell, in two tranches (i) up to $11,880,000 in aggregate principal face amount of 8% original issue discount Convertible Promissory Notes of the Company (each a “Convertible Note” and collectively, the “Convertible Notes”), which Convertible Notes shall be convertible (the “Conversion Shares”) into Class A ordinary shares pursuant to the terms and conditions set forth in the Convertible Notes and (ii) related warrants (each a “Warrant” and collectively, the “Warrants”), which Warrants are exercisable for Class A ordinary shares (the “Warrant Shares”). At the initial closing of the offering on March 2, 2026, the Company issued (a) Convertible Notes in the aggregate principal amount of $5,940,000, reflecting gross proceeds prior to expenses and fees in connection with the offering of $5,500,000 after giving effect to the 8% original issue discount, and (b) Warrants to purchase up to 47,255,369 Class A ordinary shares (without giving effect to the reverse share splits in March 2026 and June 2026) (the “Initial Tranche”). Pursuant to a term sheet entered into between the Company and Ault &amp; Company, Inc., a Delaware corporation and an affiliate of Ault Lending, LLC on February 21, 2026 (the “Ault Term Sheet”), the Company agreed to purchase Series C Redeemable Preferred Stock (the “Ault Preferred Shares”). In connection with the closing of the initial tranche of the Convertible Notes, $1 million of proceeds received by the Company from the Initial Tranche was deposited into an escrow account to be released for the purchase of Ault Preferred Shares on March 2,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Convertible Notes carry an 8% original issue discount and have a term of 24 months from the original issuance date (the “Maturity Date”). In addition to the original issue discount, the Convertible Notes bear interest at a rate of 10% per annum, payable in cash upon the Maturity Date or in Class A ordinary shares upon the earlier conversion of the Convertible Notes, unless an event of default occurs, in which case the interest rate shall be increased to eighteen percent (18%) per annum, payable in cash in arrears on the first trading day of each calendar month during the continuance of such event of default. The Convertible Notes are convertible at the option of the holder into Conversion Shares at any time after their issuance. The conversion price is the greater of (x) $0.092 (without giving effect to the reverse share splits in March 2026 and June 2026) (the “Floor Price”), which Floor Price shall be adjusted for share dividends, share splits, stock combinations and other similar transactions, and (y) the lower of 80% of the lowest trading price of the Class A ordinary shares during the six (6) trading days immediately prior to (A) the date of the securities purchase agreement or (B) the conversion date, but not greater than $1.50 per share (without giving effect to the reverse share splits in March 2026 and June 2026), subject to adjustment as provided in the Convertible Notes. The holder’s ability to convert is subject to a beneficial ownership limitation of 4.99% (which may be increased up to 9.99% upon 61 days’ notice). The Warrants are immediately exercisable at any time after their issuance and at any time up to the date that is five years after their issuance. Holders may, in lieu of making the cash payment otherwise contemplated to be made upon the exercise of the Warrants, elect instead to receive upon such exercise the “Net Number” of Warrant Shares determined in accordance with the formula set forth therein.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connection with the foregoing offering, Spartan Capital Securities, LLC acted as the exclusive placement agent and the Company agreed to pay Spartan Capital Securities, LLC a cash commission equal to 7.5% of the aggregate gross proceeds and to reimburse the accountable expenses incurred by the Placement Agent of up to $125,000. In addition, certain employees of Spartan Capital Securities, LLC entered into an agreement with Ault Lending, LLC whereby they are participants in the investment by Ault Lending, LLC into the Company as discussed above and such employees may receive profits as a result of such participation.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or prior to the thirtieth (30th) calendar day following the date of the securities purchase agreement (or if such day is not a trading day, on the next succeeding trading day), subject to the terms and conditions set forth therein, the Company will issue to the investors (i) additional Convertible Notes in the aggregate principal amount of $5,940,000 (the “Second Tranche”), reflecting gross proceeds prior to expenses and fees in connection with the offering of up to $5,500,000 after giving effect to the 8% original issue discount, and (ii) Warrants to purchase initially up to a number of Warrant Shares equal to 100% of the number of Conversion Shares issuable under the Convertible Note issued in the Second Tranche issued on the closing date of the Second Tranche, subject to adjustment as set forth therein. The securities were offered and sold pursuant to the F-3 Registration Statement, the base prospectus filed as part of the Registration Statement, and the prospectus supplement dated February 27,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of the date of this registration statement, the Second Tranche has not been completed.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During March 2026, holders exercised a series of partial conversions of the Convertible Notes and exercises of the Warrants. An aggregate principal amount of $375,000 of Convertible Notes, together with approximately $760 of accrued interest, was converted into an aggregate of 3,817,336 Class A ordinary shares (without giving effect to the reverse share splits in March 2026 and June 2026) between March 9, 2026 and March 12, 2026. In addition, holders exercised warrants relating to an aggregate of 25,185,012 underlying warrant shares between March 2, 2026 and April 22, 2026, resulting in the issuance of 31,333,900 Class A ordinary shares (without giving effect to the reverse share splits in March 2026 and June 2026) on a cashless exercise basis. In April, In total, the Company issued 35,151,236 Class A ordinary shares (without giving effect to the reverse share splits in March 2026 and June 2026) in connection with such Convertible Note conversions and Warrant exercises.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a result of the Reverse Share Splits (As defined and fully described below), the floor price of the Convertible Notes and Warrants, respectively, was adjusted from $0.092 per share to $4.60 per share and the number of Warrant Shares was adjusted from 47,255,369 to 945,108 Class A ordinary shares. Additionally, pursuant to the Convertible Notes, if the Event Market Price (as defined in the Convertible Notes) is less than the Conversion Price (as defined in the Convertible Notes) then in effect, then on the sixteenth (16th) trading day immediately following the Reverse Share Split, the Conversion Price then in effect on such sixteenth (16th) trading day shall be reduced (but in no event increased) to the Event Market Price. Event Market Price means, the quotient determined by dividing (x) the sum of the VWAP of the Class A ordinary shares for each of the five (5) trading days with the lowest VWAP of the Class A ordinary shares during the fifteen (15) consecutive trading day period ending and including the trading day immediately preceding the sixteenth (16th) trading day after the Reverse Share Split, by (y) five (5).</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18, 2026, following the Ault Term Sheet</w:t>
      </w:r>
      <w:r>
        <w:rPr>
          <w:rFonts w:ascii="Times New Roman;Times;Serif" w:hAnsi="Times New Roman;Times;Serif"/>
          <w:b w:val="false"/>
          <w:i w:val="false"/>
          <w:caps w:val="false"/>
          <w:smallCaps w:val="false"/>
          <w:sz w:val="20"/>
          <w:u w:val="single"/>
          <w:bdr w:val="single" w:sz="8" w:space="5" w:color="000000"/>
        </w:rPr>
        <w:t>,</w:t>
      </w:r>
      <w:r>
        <w:rPr>
          <w:rFonts w:ascii="Times New Roman;Times;Serif" w:hAnsi="Times New Roman;Times;Serif"/>
          <w:b w:val="false"/>
          <w:i w:val="false"/>
          <w:caps w:val="false"/>
          <w:smallCaps w:val="false"/>
          <w:sz w:val="20"/>
          <w:bdr w:val="single" w:sz="8" w:space="5" w:color="000000"/>
        </w:rPr>
        <w:t xml:space="preserve"> the Company entered into a share purchase agreement (the “Ault Agreement”) with Ault &amp; Company, Inc. Pursuant to the Ault Agreement, the Company agreed to purchase, from time to time, up to 250,000 shares of Ault Preferred Shares. The purchase price is $1,000 per Preferred Share, with each such share having a stated value of $1,000. The Company’s obligation to purchase the Ault Preferred Shares is subject to conditions set forth in the share purchase agreement, as well as the delivery of Drawdown Notices in accordance with the specific procedures further detailed in the share purchase agreement. As of the date of this prospectus, the Company has not purchased any Ault Preferred Shares. The $1 million deposited by the Company on March 2, 2026, remains in the escrow account.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The At-the-Market Offering</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27, 2026, the Company entered into an at-the-market sales agreement (the “Sales Agreement”) with Spartan Capital Securities, LLC, serving as the lead sales agent, and Wilson-Davis &amp; Co., Inc., serving as an additional agent, pursuant to which the Company may offer and sell, from time to time at its sole discretion through the sales agents, Class A ordinary shares, no par value, of the Company up to an aggregate offering price of $20 million. Sales of shares under the Sales Agreement, if any, will be affected in accordance with the sales agents’ customary trading and sales practices and applicable laws and regulations. The sales agents are entitled to a commission equal to 3.75% of the gross proceeds from any shares sold under the Sales Agreement, and the Company has agreed to provide customary indemnification and contribution to the Sales Agents. The Company expects to use the net proceeds from the ATM facility to pay off the remaining cash portion for the acquisitions completed in 2025, and for working capital purposes and business expansion for the overseas markets. On June 16, 2026, the Company announced the termination of the ATM facility. The Company raised aggregate net proceeds of $19.1 million from the sale of 152,479,008 Class A ordinary shares (without giving effect to the reverse share splits in March 2026 and June 2026) under the Sales Agreement. The securities were offered and sold pursuant to the F-3 Registration Statement, the base prospectus filed as part of the Registration Statement, and the prospectus supplement dated February 27,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 xml:space="preserve">Reverse Splits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13, 2026, the board of directors of the Company approved (i) a reverse share split of the Company’s Class A ordinary shares at a ratio of 1-for-50 (the “March 2026 Reverse Share Split”), such that (a) every fifty (50) issued Class A ordinary shares, no par value, will be combined into one (1) issued Class A ordinary share, no par value, and (b) no fractional shares will be issued in connection with the Reverse Share Split. Shareholders who would otherwise receive a fraction of a Class A ordinary share of the Company will receive one full share. The March 2026 Reverse Share Split became effective on March 23,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12, 2026, the board of directors of the Company approved (i) a reverse share split of the Company’s Class A ordinary shares at a ratio of 1-for-30 (the “June 2026 Reverse Share Split”), such that (a) every thirty (30) issued Class A ordinary shares, no par value, will be combined into one (1) issued Class A ordinary share, no par value, and (b) no fractional shares will be issued in connection with the Reverse Share Split. Shareholders who would otherwise receive a fraction of a Class A ordinary share of the Company will receive one full share. The June 2026 Reverse Share Split became effective on June 23,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Summary of Significant Risk Factors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You should carefully consider all of the information in this prospectus before making an investment in our ordinary shares. Below please find a summary of the principal risks and uncertainties we face, organized under relevant headings. 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u w:val="single"/>
          <w:bdr w:val="single" w:sz="8" w:space="5" w:color="000000"/>
        </w:rPr>
        <w:t>Risks related to Our Business and Industry</w:t>
      </w:r>
      <w:r>
        <w:rPr>
          <w:rFonts w:ascii="Times New Roman;Times;Serif" w:hAnsi="Times New Roman;Times;Serif"/>
          <w:b w:val="false"/>
          <w:i w:val="false"/>
          <w:caps w:val="false"/>
          <w:smallCaps w:val="false"/>
          <w:sz w:val="20"/>
          <w:bdr w:val="single" w:sz="8" w:space="5" w:color="000000"/>
        </w:rPr>
        <w:t>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 See “</w:t>
            </w:r>
            <w:r>
              <w:rPr>
                <w:i/>
              </w:rPr>
              <w:t>Item 3. Key Information - D. Risk Factors — Risks related to Our Business and Industry — 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depend on a small number of individuals who constitute our current management. See “</w:t>
            </w:r>
            <w:r>
              <w:rPr>
                <w:i/>
              </w:rPr>
              <w:t>Item 3. Key Information - D. Risk Factors — Risks related to Our Business and Industry — We depend on a small number of individuals who constitute our current management.</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industry is subject to extensive government regulation and the imposition of additional regulations could materially harm our future earnings. See “</w:t>
            </w:r>
            <w:r>
              <w:rPr>
                <w:i/>
              </w:rPr>
              <w:t>Item 3. Key Information - D. Risk Factors — Risks related to Our Business and Industry — Our industry is subject to extensive government regulation and the imposition of additional regulations could materially harm our future earnings.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be able to maintain and/or obtain approvals, licenses, and registrations necessary to carry on or expand our business. See “</w:t>
            </w:r>
            <w:r>
              <w:rPr>
                <w:i/>
              </w:rPr>
              <w:t>Item 3. Key Information - D. Risk Factors — Risks related to Our Business and Industry — We may not be able to maintain and/or obtain approvals, licenses and registrations necessary to carry on or expand our business.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from time to time be subject to legal and regulatory proceedings and administrative investigations. See “</w:t>
            </w:r>
            <w:r>
              <w:rPr>
                <w:i/>
              </w:rPr>
              <w:t>Item 3. Key Information - D. Risk Factors — Risks related to Our Business and Industry — We may from time to time be subject to legal and regulatory proceedings and administrative investigations.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Misconduct and errors by our employees could harm our business and reputation. See “</w:t>
            </w:r>
            <w:r>
              <w:rPr>
                <w:i/>
              </w:rPr>
              <w:t>Item 3. Key Information - D. Risk Factors — Risks related to Our Business and Industry — Misconduct and errors by our employees could harm our business and reputation.</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incur employment related claims or other types of claims and costs that could materially harm our business. See “</w:t>
            </w:r>
            <w:r>
              <w:rPr>
                <w:i/>
              </w:rPr>
              <w:t>Item 3. Key Information - D. Risk Factors — Risks related to Our Business and Industry — We may incur employment related claims or other types of claims and costs that could materially harm our business.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operate in a highly competitive industry and may be unable to retain customer or market share. See “</w:t>
            </w:r>
            <w:r>
              <w:rPr>
                <w:i/>
              </w:rPr>
              <w:t>Item 3. Key Information - D. Risk Factors — Risks related to Our Business and Industry — We operate in a highly competitive industry and may be unable to retain customers or market share.</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manpower outsourcing business model has a short cashflow conversion cycle. See “</w:t>
            </w:r>
            <w:r>
              <w:rPr>
                <w:i/>
              </w:rPr>
              <w:t>Item 3. Key Information - D. Risk Factors — Risks related to Our Business and Industry — Our manpower outsourcing business model has a short cashflow conversion cycle.</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business model and growth strategy depend on our ability to attract users to our online platform in a cost-effective manner. See “</w:t>
            </w:r>
            <w:r>
              <w:rPr>
                <w:i/>
              </w:rPr>
              <w:t>Item 3. Key Information - D. Risk Factors — Risks related to Our Business and Industry — Our business model and growth strategy depend on our ability to attract users to our online platform in a cost-effective manner.</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rely heavily on Internet search engines and mobile application stores to direct traffic to our website and our mobile application, respectively. See “</w:t>
            </w:r>
            <w:r>
              <w:rPr>
                <w:i/>
              </w:rPr>
              <w:t>Item 3. Key Information - D. Risk Factors — Risks related to Our Business and Industry — We rely heavily on Internet search engines and mobile application stores to direct traffic to our website and our mobile application, respectively.</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adopt new technologies or adapt our platform and systems to changing user requirements or emerging industry standards, our business may be materially and adversely affected. See “</w:t>
            </w:r>
            <w:r>
              <w:rPr>
                <w:i/>
              </w:rPr>
              <w:t>Item 3. Key Information - D. Risk Factors — Risks related to Our Business and Industry — If we fail to adopt new technologies or adapt our platform and systems to changing user requirements or emerging industry standards, our business may be materially and adversely affected.</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business generates and processes a large amount of consumer data, and the improper use, collection or disclosure of such data could subject us to significant reputational, financial, legal and operational consequences. See “</w:t>
            </w:r>
            <w:r>
              <w:rPr>
                <w:i/>
              </w:rPr>
              <w:t>Item 3. Key Information - D. Risk Factors — Risks related to Our Business and Industry — Our business generates and processes a large amount of consumer data, and the improper use, collection or disclosure of such data could subject us to significant reputational, financial, legal, and operational consequences.”</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be unable to adequately protect our intellectual property and proprietary rights or if third parties assert that we infringe on their intellectual property rights, our business could suffer. See “</w:t>
            </w:r>
            <w:r>
              <w:rPr>
                <w:i/>
              </w:rPr>
              <w:t>Item 3. Key Information - D. Risk Factors — Risks related to Our Business and Industry — We may be unable to adequately protect our intellectual property and proprietary rights or if third parties assert that we infringe on their intellectual property rights, our business could suffer.</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rely on certain technology and software licensed from third parties. See “</w:t>
            </w:r>
            <w:r>
              <w:rPr>
                <w:i/>
              </w:rPr>
              <w:t>Item 3. Key Information - D. Risk Factors — Risks related to Our Business and Industry — We rely on certain technology and software licensed from third parties.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technology, software and systems are highly complex and may contain undetected errors or vulnerabilities. See “</w:t>
            </w:r>
            <w:r>
              <w:rPr>
                <w:i/>
              </w:rPr>
              <w:t>Item 3. Key Information - D. Risk Factors — Risks related to Our Business and Industry — Our technology, software and systems are highly complex and may contain undetected errors or vulnerabilities.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Errors or inaccuracies in our business data and algorithms may adversely affect our business decisions and the customer experience. See “</w:t>
            </w:r>
            <w:r>
              <w:rPr>
                <w:i/>
              </w:rPr>
              <w:t>Item 3. Key Information - D. Risk Factors — Risks related to Our Business and Industry — Errors or inaccuracies in our business data and algorithms may adversely affect our business decisions and the customer experience.</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be unable to effectively consolidate our recently acquired subsidiaries. See “</w:t>
            </w:r>
            <w:r>
              <w:rPr>
                <w:i/>
              </w:rPr>
              <w:t>Item 3. Key Information - D. Risk Factors — Risks related to Our Business and Industry — We may be unable to effectively consolidate our recently acquired subsidiaries.</w:t>
            </w:r>
            <w:r>
              <w:rPr/>
              <w:t>”</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bdr w:val="single" w:sz="8" w:space="5" w:color="000000"/>
        </w:rPr>
      </w:pPr>
      <w:r>
        <w:rPr>
          <w:rFonts w:ascii="Times New Roman;Times;Serif" w:hAnsi="Times New Roman;Times;Serif"/>
          <w:b w:val="false"/>
          <w:i w:val="false"/>
          <w:caps w:val="false"/>
          <w:smallCaps w:val="false"/>
          <w:sz w:val="20"/>
          <w:u w:val="single"/>
          <w:bdr w:val="single" w:sz="8" w:space="5" w:color="000000"/>
        </w:rPr>
        <w:t>Risks Related to Our Securities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not maintain the listing of our Class A ordinary shares on Nasdaq which could limit investors’ ability to make transactions in our Class A ordinary shares and subject us to additional trading restrictions. See “</w:t>
            </w:r>
            <w:r>
              <w:rPr>
                <w:i/>
              </w:rPr>
              <w:t>Item 3. Key Information - D. Risk Factors — Risks related to Our Securities — We may not maintain the listing of our Class A Shares on Nasdaq which could limit investors’ ability to make transactions in our Class A Shares and subject us to additional trading restrictions.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trading price of our Class A ordinary shares may be volatile, which could result in substantial losses to investors. See “</w:t>
            </w:r>
            <w:r>
              <w:rPr>
                <w:i/>
              </w:rPr>
              <w:t>Item 3. Key Information - D. Risk Factors — Risks related to Our Securities — The trading price of our Class A Shares may be volatile, which could result in substantial losses to investors.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securities or industry analysts do not publish research or reports about our business, or if they adversely change their recommendations regarding our Class A ordinary shares, the market price for our Class A ordinary shares and trading volume could decline. See “</w:t>
            </w:r>
            <w:r>
              <w:rPr>
                <w:i/>
              </w:rPr>
              <w:t>Item 3. Key Information - D. Risk Factors — Risks related to Our Securities — If securities or industry analysts do not publish research or reports about our business, or if they adversely change their recommendations regarding our Class A Shares, the market price for our Class A Shares and trading volume could decline.</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Because we do not expect to pay dividends in the foreseeable future, you must rely on price appreciation of our Class A ordinary shares for a return on your investment. You may not realize a return on your investment in our shares and you may even lose your entire investment. See “</w:t>
            </w:r>
            <w:r>
              <w:rPr>
                <w:i/>
              </w:rPr>
              <w:t>Item 3. Key Information - D. Risk Factors — Risks related to Our Securities — Because we do not expect to pay dividends in the foreseeable future, you must rely on price appreciation of our Class A Shares for a return on your investment.</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Short selling may drive down the market price of our Class A ordinary shares. See “</w:t>
            </w:r>
            <w:r>
              <w:rPr>
                <w:i/>
              </w:rPr>
              <w:t>Item 3. Key Information - D. Risk Factors — Risks related to Our Securities — Short selling may drive down the market price of our Class A Shares.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controlling shareholder has substantial influence over the Company. Its interests may not be aligned with the interests of our other shareholders, and it could prevent or cause a change of control or other transactions. See “</w:t>
            </w:r>
            <w:r>
              <w:rPr>
                <w:i/>
              </w:rPr>
              <w:t>Item 3. Key Information - D. Risk Factors — Risks related to Our Securities — Our controlling shareholder has substantial influence over the Company. Its interests may not be aligned with the interests of our other shareholders, and it could prevent or cause a change of control or other transactions.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a “controlled company” under the rules of Nasdaq Capital Market, we may choose to exempt our Company from certain corporate governance requirements that could have an adverse effect on our public shareholders. See “</w:t>
            </w:r>
            <w:r>
              <w:rPr>
                <w:i/>
              </w:rPr>
              <w:t>Item 3. Key Information - D. Risk Factors — Risks related to Our Securities — As a “controlled company” under the rules of Nasdaq Capital Market, we may choose to exempt our Company from certain corporate governance requirements that could have an adverse effect on our public shareholders..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 See “</w:t>
            </w:r>
            <w:r>
              <w:rPr>
                <w:i/>
              </w:rPr>
              <w:t>Item 3. Key Information - D. Risk Factors — Risks related to Our Securities — 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You may face difficulties in protecting your interests, and your ability to protect your rights through U.S. courts may be limited, because we are incorporated under British Virgin Islands law. See “</w:t>
            </w:r>
            <w:r>
              <w:rPr>
                <w:i/>
              </w:rPr>
              <w:t>Item 3. Key Information - D. Risk Factors — Risks related to Our Securities — You may face difficulties in protecting your interests, and your ability to protect your rights through U.S. courts may be limited, because we are incorporated under British Virgin Islands law.</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an “emerging growth company” and the reduced disclosure requirements applicable to emerging growth companies may make our Class A ordinary shares less attractive to investors. See “</w:t>
            </w:r>
            <w:r>
              <w:rPr>
                <w:i/>
              </w:rPr>
              <w:t>Item 3. Key Information - D. Risk Factors — Risks related to Our Securities — We are an “emerging growth company,” and the reduced disclosure requirements applicable to emerging growth companies may make our Class A Shares less attractive to investors.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a foreign private issuer within the meaning of the Exchange Act, and as such we are exempt from certain provisions applicable to United States domestic public companies. See “</w:t>
            </w:r>
            <w:r>
              <w:rPr>
                <w:i/>
              </w:rPr>
              <w:t>Item 3. Key Information - D. Risk Factors — Risks related to Our Securities — We are a foreign private issuer within the meaning of the Exchange Act, and as such we are exempt from certain provisions applicable to United States domestic public companies.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lose our foreign private issuer status in the future, which could result in significant additional costs and expenses to us. See “</w:t>
            </w:r>
            <w:r>
              <w:rPr>
                <w:i/>
              </w:rPr>
              <w:t>Item 3. Key Information - D. Risk Factors — Risks related to Our Securities — We may lose our foreign private issuer status in the future, which could result in significant additional costs and expenses to us.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Further issuances of Class B ordinary shares may result in a dilution of the percentage ownership of the existing holders of Class A ordinary shares as a total proportion of ordinary shares in the Company. See “</w:t>
            </w:r>
            <w:r>
              <w:rPr>
                <w:i/>
              </w:rPr>
              <w:t>Item 3. Key Information - D. Risk Factors — Risks related to Our Securities — Further issuances of Class B Shares may result in a dilution of the percentage ownership of the existing holders of Class A ordinary shares as a total proportion of ordinary shares in the Company.</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a company incorporated in the British Virgin Islands, we are permitted to follow certain home country practices in relation to corporate governance matters in lieu of certain requirements under the Nasdaq listing standards. These practices may afford less protection to shareholders than they would enjoy if we complied fully with the Nasdaq Listing standards. See “</w:t>
            </w:r>
            <w:r>
              <w:rPr>
                <w:i/>
              </w:rPr>
              <w:t>Item 3. Key Information - D. Risk Factors — Risks related to Our Securities — As a company incorporated in the British Virgin Islands, we are permitted to follow certain home country practices in relation to corporate governance matters in lieu of certain requirements under the Nasdaq listing standards. These practices may afford less protection to shareholders than they would enjoy if we complied fully with the Nasdaq Listing standards.</w:t>
            </w:r>
            <w:r>
              <w:rPr/>
              <w:t>”</w:t>
            </w:r>
          </w:p>
        </w:tc>
      </w:tr>
    </w:tbl>
    <w:p>
      <w:pPr>
        <w:pStyle w:val="TextBody"/>
        <w:bidi w:val="0"/>
        <w:spacing w:before="0" w:after="0"/>
        <w:ind w:left="72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stock option plan may adversely impact our financial results, and, in turn, could adversely impact the trading price of our Class A ordinary shares. See “</w:t>
            </w:r>
            <w:r>
              <w:rPr>
                <w:i/>
              </w:rPr>
              <w:t>Item 3. Key Information - D. Risk Factors — Risks related to Our Securities — As a company incorporated in the British Virgin Islands, we are permitted to follow certain home country practices in relation to corporate governance matters in lieu of certain requirements under the Nasdaq listing standards. These practices may afford less protection to shareholders than they would enjoy if we complied fully with the Nasdaq Listing standards.</w:t>
            </w:r>
            <w:r>
              <w:rPr/>
              <w:t>”</w:t>
            </w:r>
          </w:p>
        </w:tc>
      </w:tr>
    </w:tbl>
    <w:p>
      <w:pPr>
        <w:pStyle w:val="TextBody"/>
        <w:bidi w:val="0"/>
        <w:spacing w:before="0" w:after="0"/>
        <w:ind w:left="720" w:right="0" w:hanging="3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fail to maintain compliance with the continued listing requirements of the Nasdaq Capital Market in the future, which could lead to the delisting of our Class A ordinary shares. See “</w:t>
            </w:r>
            <w:r>
              <w:rPr>
                <w:i/>
              </w:rPr>
              <w:t>Item 3. Key Information - D. Risk Factors — Risks related to Our Securities — We may fail to maintain compliance with the continued listing requirements of the Nasdaq Capital Market in the future, which could lead to the delisting of our Class A ordinary shares.</w:t>
            </w:r>
            <w:r>
              <w:rPr/>
              <w:t>”</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Implications of Being an Emerging Growth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had less than $1.235 billion in revenue during our last fiscal year. As a result, we qualify as an “emerging growth company” as defined in the Jumpstart Our Business Startups Act of 2012 (the “</w:t>
      </w:r>
      <w:r>
        <w:rPr>
          <w:rFonts w:ascii="Times New Roman;Times;Serif" w:hAnsi="Times New Roman;Times;Serif"/>
          <w:b/>
          <w:i w:val="false"/>
          <w:caps w:val="false"/>
          <w:smallCaps w:val="false"/>
          <w:sz w:val="20"/>
          <w:bdr w:val="single" w:sz="8" w:space="5" w:color="000000"/>
        </w:rPr>
        <w:t>JOBS Act</w:t>
      </w:r>
      <w:r>
        <w:rPr>
          <w:rFonts w:ascii="Times New Roman;Times;Serif" w:hAnsi="Times New Roman;Times;Serif"/>
          <w:b w:val="false"/>
          <w:i w:val="false"/>
          <w:caps w:val="false"/>
          <w:smallCaps w:val="false"/>
          <w:sz w:val="20"/>
          <w:bdr w:val="single" w:sz="8" w:space="5" w:color="000000"/>
        </w:rPr>
        <w:t>”), and may take advantage of reduced public reporting requirements. These provisions include, but are not limited to:</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present only two years of audited financial statements and only two years of related Management’s Discussion and Analysis of Financial Condition and Results of Operations in our filings with the SEC;</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in the assessment of our internal control over financial reporting;</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periodic reports, proxy statements and registration statements; and</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take advantage of these provisions until the last day of our fiscal year following the fifth anniversary of the date of the first sale of our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Section 107 of the JOBS Act provides that an emerging growth company can take advantage of the extended transition period provided in Section 7(a)(2)(B) of the Securities Act of 1933, as amended (the “</w:t>
      </w:r>
      <w:r>
        <w:rPr>
          <w:rFonts w:ascii="Times New Roman;Times;Serif" w:hAnsi="Times New Roman;Times;Serif"/>
          <w:b/>
          <w:i w:val="false"/>
          <w:caps w:val="false"/>
          <w:smallCaps w:val="false"/>
          <w:sz w:val="20"/>
          <w:bdr w:val="single" w:sz="8" w:space="5" w:color="000000"/>
        </w:rPr>
        <w:t>Securities Act</w:t>
      </w:r>
      <w:r>
        <w:rPr>
          <w:rFonts w:ascii="Times New Roman;Times;Serif" w:hAnsi="Times New Roman;Times;Serif"/>
          <w:b w:val="false"/>
          <w:i w:val="false"/>
          <w:caps w:val="false"/>
          <w:smallCaps w:val="false"/>
          <w:sz w:val="20"/>
          <w:bdr w:val="single" w:sz="8" w:space="5" w:color="000000"/>
        </w:rPr>
        <w:t>”), for complying with new or revised accounting standards. We have elected to take advantage of this extended transition period.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Implications of Being a Foreign Private Issuer</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report under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that require U.S. domestic public companies to issue financial statements prepared under U.S. GAAP;</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that regulate the solicitation of proxies, consents or authorizations in respect of any securities registered under the Exchange Act;</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that impose liability on insiders who profit from trades made in a short period of time; and</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that require the filing with the SEC of quarterly reports on Form 10-Q, containing unaudited financial and other specified information, and current reports on Form 8-K, upon the occurrence of specified significant events.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required to file with the SEC, within four months after the end of each fiscal year (or such other reports required by the SEC), an annual report on Form 20-F containing financial statements audited by an independent registered public accounting firm.</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Implications of Being a Controlled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director and Chief Executive Officer, Xiaowei Fu, beneficially owns approximately 99.98% of our voting power as of the date of this prospectus and we are a “controlled company” as defined under the Nasdaq Listing Rules. For so long as we are a “controlled company”, we are permitted to elect to rely, and may rely, on certain exemptions from corporate governance rules, including:</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rule that a majority of our board of directors must be independent directors;</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rule that the compensation of our chief executive officer must be determined or recommended solely by independent directors; and</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rule that our director nominees must be selected or recommended solely by independent directors.</w:t>
            </w:r>
          </w:p>
        </w:tc>
      </w:tr>
    </w:tbl>
    <w:p>
      <w:pPr>
        <w:pStyle w:val="TextBody"/>
        <w:bidi w:val="0"/>
        <w:spacing w:before="0" w:after="0"/>
        <w:ind w:left="0" w:right="0" w:firstLine="6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Although we do not intend to rely on the “controlled company” exemption under the Nasdaq Listing Rules, we could elect to rely on this exemption in the future. As a result, you will not have the same protection afforded to shareholders of companies that are subject to these corporate governance requirements. Our status as a “controlled company” could cause our Class A ordinary shares to look less attractive to certain investors or otherwise harm the trading price of our Class A ordinary shares.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YY Group Holding Limited was incorporated in the British Virgin Islands on February 21, 2023. Our registered office in the British Virgin Islands is at Vistra Corporate Services Centre, Wickhams Cay II, Road Town, Tortola, VG1110, British Virgin Islands. Our principal executive office is at 60 Paya Lebar Road #09-13/14/15/16/17 Paya Lebar Square Singapore 409051. Our telephone number at this location is +65 6604 6896. Our principal website address is yygroupholding.com. The information contained on our website does not form part of this prospectus. Our agent for service of process in the United States is Cogency Global Inc., 122 E. 42</w:t>
      </w:r>
      <w:r>
        <w:rPr>
          <w:rFonts w:ascii="Times New Roman;Times;Serif" w:hAnsi="Times New Roman;Times;Serif"/>
          <w:b w:val="false"/>
          <w:i w:val="false"/>
          <w:caps w:val="false"/>
          <w:smallCaps w:val="false"/>
          <w:position w:val="7"/>
          <w:sz w:val="16"/>
          <w:sz w:val="20"/>
          <w:bdr w:val="single" w:sz="8" w:space="5" w:color="000000"/>
        </w:rPr>
        <w:t>nd</w:t>
      </w:r>
      <w:r>
        <w:rPr>
          <w:rFonts w:ascii="Times New Roman;Times;Serif" w:hAnsi="Times New Roman;Times;Serif"/>
          <w:b w:val="false"/>
          <w:i w:val="false"/>
          <w:caps w:val="false"/>
          <w:smallCaps w:val="false"/>
          <w:sz w:val="20"/>
          <w:bdr w:val="single" w:sz="8" w:space="5" w:color="000000"/>
        </w:rPr>
        <w:t> Street, 18</w:t>
      </w:r>
      <w:r>
        <w:rPr>
          <w:rFonts w:ascii="Times New Roman;Times;Serif" w:hAnsi="Times New Roman;Times;Serif"/>
          <w:b w:val="false"/>
          <w:i w:val="false"/>
          <w:caps w:val="false"/>
          <w:smallCaps w:val="false"/>
          <w:position w:val="7"/>
          <w:sz w:val="16"/>
          <w:sz w:val="20"/>
          <w:bdr w:val="single" w:sz="8" w:space="5" w:color="000000"/>
        </w:rPr>
        <w:t>th</w:t>
      </w:r>
      <w:r>
        <w:rPr>
          <w:rFonts w:ascii="Times New Roman;Times;Serif" w:hAnsi="Times New Roman;Times;Serif"/>
          <w:b w:val="false"/>
          <w:i w:val="false"/>
          <w:caps w:val="false"/>
          <w:smallCaps w:val="false"/>
          <w:sz w:val="20"/>
          <w:bdr w:val="single" w:sz="8" w:space="5" w:color="000000"/>
        </w:rPr>
        <w:t> Floor, New York, New York 10168.</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6" w:name="a_004"/>
      <w:bookmarkEnd w:id="6"/>
      <w:r>
        <w:rPr>
          <w:rFonts w:ascii="Times New Roman;Times;Serif" w:hAnsi="Times New Roman;Times;Serif"/>
          <w:b/>
          <w:i w:val="false"/>
          <w:caps w:val="false"/>
          <w:smallCaps w:val="false"/>
          <w:sz w:val="20"/>
          <w:bdr w:val="single" w:sz="8" w:space="5" w:color="000000"/>
        </w:rPr>
        <w:t>DIVIDEND POLICY</w:t>
      </w:r>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never declared or paid cash dividends on our Class A ordinary shares. We currently do not have any plans to pay cash dividends. Rather, we currently intend to retain all of our available funds and any future earnings to operate and grow our business.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Even if our board of directors has the discretion regarding whether to declare or pay dividends, the form, frequency and amount of the dividends, subject to certain restrictions under the Companies Act and the Company’s Amended and Restated Memorandum and Articles of Association, including: (a) all dividends must be authorized by a resolution of directors (being a simple majority of directors at a duly convened meeting or by written resolution in each case in accordance with the Amended and Restated Memorandum and Articles of Association), by which our board of directors may authorize a distributions at any time and in any amount they think fit and set a record date (which may be before or after the date on which the board resolutions are passed) for determining the shareholders to be paid; (ii) our board of directors may only authorize payment of a dividend if they are satisfied (on reasonable grounds) that the value of the Company’s assets exceeds its liabilities and the Company is able to pay its debts as they fall due (the “Solvency Test”) immediately after paying the dividend; (iii) if, after a dividend is authorized (but before it is paid), our board of directors cease to be satisfied (on reasonable grounds) that the Company will be able to satisfy the Solvency Test after the dividend is paid, then such dividend is deemed not to have been authorized; (iv) the directors must notify each shareholder of any dividend authorized by them; (v) no interest accrues on any dividend; and (vi) if a shareholder fails to claim any dividend for three years after the date on which it was authorized by the directors, the directors may decide by a resolution of directors that the dividend is forfeited for the benefit of the Company.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the event we consider distributing a dividend in the future, our board of directors will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 In addition, we are a holding company and depend on the receipt of dividends and other distributions from our subsidiary to pay dividends on our shares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There are no foreign exchange controls or foreign exchange regulations under current applicable laws of the various places of incorporation of our significant subsidiaries that would affect the payment or remittance of dividends.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Subject to the Company’s Amended and Restated Memorandum and Articles of Association, each Class B Share confers on the holder no right to share in the distribution of any surplus assets of the Company on its liquidation and no right to share in any distribution paid by the Company in accordance with the Companies Act and the Amended and Restated Memorandum and Articles of Association.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risks and uncertainties described below and the other information included or incorporated by reference in this prospectus before making an investment in our Class A ordinary shares, including the section entitled “</w:t>
      </w:r>
      <w:r>
        <w:rPr>
          <w:rFonts w:ascii="Times New Roman;Times;Serif" w:hAnsi="Times New Roman;Times;Serif"/>
          <w:b w:val="false"/>
          <w:i/>
          <w:caps w:val="false"/>
          <w:smallCaps w:val="false"/>
          <w:sz w:val="20"/>
        </w:rPr>
        <w:t>Item 3.D. Risk Factors</w:t>
      </w:r>
      <w:r>
        <w:rPr>
          <w:rFonts w:ascii="Times New Roman;Times;Serif" w:hAnsi="Times New Roman;Times;Serif"/>
          <w:b w:val="false"/>
          <w:i w:val="false"/>
          <w:caps w:val="false"/>
          <w:smallCaps w:val="false"/>
          <w:sz w:val="20"/>
        </w:rPr>
        <w:t>” in our 2025 Annual Report incorporated by reference in this prospectus. Our business, financial condition or results of operations could be materially and adversely affected if any of these risks occurs, and as a result, the market price of our Class A ordinary shares could decline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additional Class A ordinary shares or convertible securities may dilute your ownership and could adversely affect the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future, we may issue additional Class A ordinary shares or securities convertible into Class A ordinary shares pursuant to a variety of transactions, including acquisitions. Additional ordinary shares may also be issued upon exercise of outstanding stock options and warrants to purchase Class A ordinary shares. The issuance by us of additional Class A ordinary shares or securities convertible into Class A ordinary shares would dilute your ownership in us and the sale of a significant number of such shares in the public market could adversely affect prevailing market prices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Issuing additional Class A ordinary shares of YY Group Holding Limited, other equity securities, or securities convertible into equity may dilute the economic and voting rights of our existing shareholders, reduce the market price of our Class A ordinary shares, or both. Debt securities convertible into equity could be subject to adjustments in the conversion ratio pursuant to which certain events may increase the number of equity securities issuable upon conversion. Our decision to issue securities in any future offering will depend on market conditions and other factors beyond our control, which may adversely affect the amount, timing, or nature of our future offerings. As a result, holders of our Class A ordinary shares bear the risk that our future offerings may reduce the market price of our Class A ordinary shares and dilute their percentage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we plan to use the net proceeds from the sale of the securities for business expansion, potential acquisitions, working capital, and other general corporate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and indebtedness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described in this prospectus from time to time in one or more of the following ways:</w:t>
      </w:r>
    </w:p>
    <w:p>
      <w:pPr>
        <w:pStyle w:val="TextBody"/>
        <w:bidi w:val="0"/>
        <w:spacing w:before="0" w:after="0"/>
        <w:ind w:left="0" w:right="0" w:hanging="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to or through underwriters or dealers;</w:t>
            </w:r>
          </w:p>
        </w:tc>
      </w:tr>
    </w:tbl>
    <w:p>
      <w:pPr>
        <w:pStyle w:val="TextBody"/>
        <w:bidi w:val="0"/>
        <w:spacing w:before="0" w:after="0"/>
        <w:ind w:left="0" w:right="0" w:firstLine="144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directly to one or more purchasers; or</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 holders. In some cases, we or any dealers acting for us or on our behalf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securities from time to time in one or more of transactions:</w:t>
      </w:r>
    </w:p>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pPr>
            <w:r>
              <w:rPr/>
              <w:t>at a fixed price or prices, which may be changed;</w:t>
            </w:r>
          </w:p>
        </w:tc>
      </w:tr>
    </w:tbl>
    <w:p>
      <w:pPr>
        <w:pStyle w:val="TextBody"/>
        <w:bidi w:val="0"/>
        <w:spacing w:before="0" w:after="0"/>
        <w:ind w:left="72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t>at prices relating to prevailing market prices at the time of sale;</w:t>
            </w:r>
          </w:p>
        </w:tc>
      </w:tr>
    </w:tbl>
    <w:p>
      <w:pPr>
        <w:pStyle w:val="TextBody"/>
        <w:bidi w:val="0"/>
        <w:spacing w:before="0" w:after="0"/>
        <w:ind w:left="720" w:right="0" w:hanging="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at varying prices determined at the time of sale; or</w:t>
            </w:r>
          </w:p>
        </w:tc>
      </w:tr>
    </w:tbl>
    <w:p>
      <w:pPr>
        <w:pStyle w:val="TextBody"/>
        <w:bidi w:val="0"/>
        <w:spacing w:before="0" w:after="0"/>
        <w:ind w:left="72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with respect to the offered securities will describe the terms of the offering of the securities, including, to the extent applicable:</w:t>
      </w:r>
    </w:p>
    <w:p>
      <w:pPr>
        <w:pStyle w:val="TextBody"/>
        <w:bidi w:val="0"/>
        <w:spacing w:before="0" w:after="0"/>
        <w:ind w:left="72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72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any public offering price or purchase price of the securities or other consideration therefor,</w:t>
            </w:r>
          </w:p>
        </w:tc>
      </w:tr>
    </w:tbl>
    <w:p>
      <w:pPr>
        <w:pStyle w:val="TextBody"/>
        <w:bidi w:val="0"/>
        <w:spacing w:before="0" w:after="0"/>
        <w:ind w:left="72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proceeds from such sale;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underwriting discounts or agency fees and other items constituting underwriters’ or agents’ compensation;</w:t>
            </w:r>
          </w:p>
        </w:tc>
      </w:tr>
    </w:tbl>
    <w:p>
      <w:pPr>
        <w:pStyle w:val="TextBody"/>
        <w:bidi w:val="0"/>
        <w:spacing w:before="0" w:after="0"/>
        <w:ind w:left="72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any over-allotment options under which underwriters may purchase additional securities from us;</w:t>
            </w:r>
          </w:p>
        </w:tc>
      </w:tr>
    </w:tbl>
    <w:p>
      <w:pPr>
        <w:pStyle w:val="TextBody"/>
        <w:bidi w:val="0"/>
        <w:spacing w:before="0" w:after="0"/>
        <w:ind w:left="720" w:right="0" w:hanging="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72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any securities exchanges on which the securities may be listed.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for the sale of securities, they will acquire securities for their own account, including through underwriting, purchase, security lending or repurchase agreements with us.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otherwise state in the applicable prospectus supplement, various conditions will apply to the underwriters’ obligation to purchase securities,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The underwriter or underwriters of a particular underwritten offering of securities, or, if an underwriting syndicate is used, the managing underwriter or underwriters, will be set forth on the cover of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directly without using agents,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of Pledge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loan or pledge securities to a financial institution or other third party that in turn may sell the securities using this prospectus and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ordinary shares, debt securities, subscription rights, warrants and/or units consisting of two or more of these classes or series of securities. The total dollar amount of all securities that we may issue under this prospectus will not exceed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under our amended and restated memorandum of association, the authorized shares of the Company consist of an unlimited number of shares, divided into Class A ordinary shares of no-par value, and Class B ordinary shares of no-par value (up to a maximum of 5,000,000 Class B ordinary shares) and there are 3,201,764 Class A ordinary shares and 5,000,000 Class B ordinary shares issued and outstanding as of the date of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ordinary shares can be found under the heading “</w:t>
      </w:r>
      <w:r>
        <w:rPr>
          <w:rFonts w:ascii="Times New Roman;Times;Serif" w:hAnsi="Times New Roman;Times;Serif"/>
          <w:b w:val="false"/>
          <w:i/>
          <w:caps w:val="false"/>
          <w:smallCaps w:val="false"/>
          <w:sz w:val="20"/>
        </w:rPr>
        <w:t>Exhibit 2.1. Description of Securities</w:t>
      </w:r>
      <w:r>
        <w:rPr>
          <w:rFonts w:ascii="Times New Roman;Times;Serif" w:hAnsi="Times New Roman;Times;Serif"/>
          <w:b w:val="false"/>
          <w:i w:val="false"/>
          <w:caps w:val="false"/>
          <w:smallCaps w:val="false"/>
          <w:sz w:val="20"/>
        </w:rPr>
        <w:t>” in our 2025 Annual Report, and any amendments or reports filed for the purpose of updating such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Class A ordinary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the title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price or prices (expressed as a percentage of the aggregate principal amount) at which we will sell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any limit on the aggregate principal amount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on which we will repay the principal on the debt securities and the right, if any, to extend the maturity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place or places where the principal of, premium, and interest on the debt securities will be payable, and where the debt securities of the series that are convertible or exchangeable may be surrendered for conversion or exchange;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ind w:left="0" w:right="0" w:firstLine="144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the denominations in which the debt securities will be issued;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will be issued in the form of certificated debt securities or global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portion of principal amount of the debt securities payable upon declaration of acceleration of the maturity date, if other than the principal amount;</w:t>
            </w:r>
          </w:p>
        </w:tc>
      </w:tr>
    </w:tbl>
    <w:p>
      <w:pPr>
        <w:pStyle w:val="TextBody"/>
        <w:bidi w:val="0"/>
        <w:spacing w:before="0" w:after="0"/>
        <w:ind w:left="0" w:right="0" w:firstLine="144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the currency of denomination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of the currency, currencies or currency units in which payment of principal of, premium and interest on the debt securities will be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ind w:left="0" w:right="0" w:firstLine="144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any provisions relating to any security provided for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any addition to or change in the covenants described in the indenture with respect to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pPr>
            <w:r>
              <w:rPr/>
              <w:t>whether the debt securities will be senior or subordinated and any applicable subordination provisions;</w:t>
            </w:r>
          </w:p>
        </w:tc>
      </w:tr>
    </w:tbl>
    <w:p>
      <w:pPr>
        <w:pStyle w:val="TextBody"/>
        <w:bidi w:val="0"/>
        <w:spacing w:before="0" w:after="0"/>
        <w:ind w:left="0" w:right="0" w:firstLine="144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a discussion of material income tax considerations applicable to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the debt securities, which may modify any provisions of the indenture as it applies to that series;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depositaries, interest rate calculation agents, exchange rate calculation agents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Class A ordinary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Class A ordinary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debt securities or any combination of these securities.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pPr>
            <w:r>
              <w:rPr/>
              <w:t>the title of such warrants;</w:t>
            </w:r>
          </w:p>
        </w:tc>
      </w:tr>
    </w:tbl>
    <w:p>
      <w:pPr>
        <w:pStyle w:val="TextBody"/>
        <w:bidi w:val="0"/>
        <w:spacing w:before="0" w:after="0"/>
        <w:ind w:left="0" w:right="0" w:firstLine="144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the aggregate number of such warrants;</w:t>
            </w:r>
          </w:p>
        </w:tc>
      </w:tr>
    </w:tbl>
    <w:p>
      <w:pPr>
        <w:pStyle w:val="TextBody"/>
        <w:bidi w:val="0"/>
        <w:spacing w:before="0" w:after="0"/>
        <w:ind w:left="0" w:right="0" w:firstLine="144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the price or prices at which such warrants will be issued and exercised;</w:t>
            </w:r>
          </w:p>
        </w:tc>
      </w:tr>
    </w:tbl>
    <w:p>
      <w:pPr>
        <w:pStyle w:val="TextBody"/>
        <w:bidi w:val="0"/>
        <w:spacing w:before="0" w:after="0"/>
        <w:ind w:left="0" w:right="0" w:firstLine="144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the currency or currencies in which the price of such warrants will be payable;</w:t>
            </w:r>
          </w:p>
        </w:tc>
      </w:tr>
    </w:tbl>
    <w:p>
      <w:pPr>
        <w:pStyle w:val="TextBody"/>
        <w:bidi w:val="0"/>
        <w:spacing w:before="0" w:after="0"/>
        <w:ind w:left="0" w:right="0" w:firstLine="144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the securities purchasable upon exercise of such warrants;</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such warrants shall commence and the date on which such right shall expire;</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minimum or maximum amount of such warrants which may be exercised at any one time;</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0" w:right="0" w:firstLine="144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0" w:right="0" w:firstLine="144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pPr>
            <w:r>
              <w:rPr/>
              <w:t>any material British Virgin Islands or United States federal income tax consequences;</w:t>
            </w:r>
          </w:p>
        </w:tc>
      </w:tr>
    </w:tbl>
    <w:p>
      <w:pPr>
        <w:pStyle w:val="TextBody"/>
        <w:bidi w:val="0"/>
        <w:spacing w:before="0" w:after="0"/>
        <w:ind w:left="0" w:right="0" w:firstLine="144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the antidilution provisions of the warrants, if any; and</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a warrant agent (if applicable)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Class A ordinary shares, debt securities or other securities.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pPr>
            <w:r>
              <w:rPr/>
              <w:t>the title of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pPr>
            <w:r>
              <w:rPr/>
              <w:t>the securities for which such subscription rights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pPr>
            <w:r>
              <w:rPr/>
              <w:t>the exercise price for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the number of such subscription rights issued to each shareholder;</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the extent to which such subscription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a discussion of the material British Virgin Islands or United States federal income tax considerations applicable to the issuance or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such subscription rights shall commence, and the date on which such rights shall expire (subject to any extension);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extent to which such subscription rights include an over-subscription privilege with respect to unsubscribed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material terms of any standby underwriting or other purchase arrangement that we may enter into in connection with the subscription rights offering;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such subscription rights, including terms, procedures and limitations relating to the exchange and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pPr>
            <w:r>
              <w:rPr/>
              <w:t>any unit agreement under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SEC registration fee, printing costs, legal fees and expenses, accounting fees and expenses, and others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Ellenoff Grossman&amp; Schole LLP with respect to certain legal matters of U.S. federal securities and New York State law. The validity of the Class A ordinary shares offered in this offering and certain other legal matters as to British Virgin Islands law will be passed upon for us by Mourant Ozannes (British Virgin Islands). Certain legal matters as to Singapore law will be passed upon for us by Triangle Legal LLC. Certain legal matters as to Malaysian law will be passed upon for us by HL Tan Lim &amp; Partners. Ellenoff Grossman &amp; Schole LLP may rely upon Mourant Ozannes (British Virgin Islands) with respect to matters governed by British Virgin Islands law, Triangle Legal LLC with respect to matters governed by Singapore law, and HL Tan Lim &amp; Partners with respect to matters governed by Malaysian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and for the years ended December 31, 2025 and 2024, incorporated by reference in this prospectus to the 2025 Annual Report, have been so incorporated in reliance on the report of Marcum Asia CPAs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Marcum Asia CPAs LLP is located at 7 Pennsylvania Plaza, Suite 830, New York, NY 10001,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BVI legal counsel, Mourant Ozannes (British Virgin Islands),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The United States is not a country to which the Reciprocal Enforcement of Foreign Judgments Act 1959 of Singapore applies, and accordingly a judgment of a United States court cannot be registered for enforcement under that Act and may only be enforced, if at all, by way of a fresh common law action for the judgment debt. However, the Singapore courts are unlikely to enforce a foreign judgment if (a) the foreign judgment does not qualify as a judgment to which the Reciprocal Enforcement of Foreign Judgments Act 1959 of Singapore applies or was not registered in accordance with the provisions of the Reciprocal Enforcement of Foreign Judgments Act 1959 of Singapore; (b) the courts of the country of the original court of the foreign judgment had no jurisdiction in the circumstances of the case, (c) the recognition or enforcement of the foreign judgment would contravene the public policy of Singapore; (d) the proceedings in which the foreign judgment was obtained were contrary to principles of natural justice; (e) the foreign judgment was obtained by fraud; (f) the enforcement of the foreign judgment amounts to the direct or indirect enforcement of a foreign penal, revenue or other public law; (g) the rights under the judgment are not vested in the person by whom the application for registration of the foreign judgment was made; (h) a foreign judgment that has been wholly satisfied, discharged or a judgment which cannot be enforced by execution in the country of the original court, (i) if the matter in dispute in the proceedings in the original court had before the date of the foreign judgment in the original court been the subject of a final and conclusive judgment by a court having jurisdiction in the matter; or (j) if the notice of registration of the foreign judgment was defective or has not been served on the judgment debtor.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the Singapore courts generally do not recognize or enforce such judgments to the extent that they are punitive or penal. As at the date of this prospectus,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Directors and Executive Officers reside outside the United States. In addition, a majority of our assets and the assets of such persons are located outside the United States. As a result, it may be difficult to enforce in the United States any judgment obtained in the United States against us or any of such persons, including judgments based on the civil liability provisions of the U.S. securities laws. In addition, in original actions brought in courts in jurisdictions located outside the United States, it may be difficult for investors to automatically enforce liabilities based upon U.S.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and/or our officers, judgments obtained in the United States which based on the civil liability provisions of the federal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element of uncertainty regarding the recognition or enforcement of judgments obtained against us, our directors, or officers by United States courts, based on the civil liability provisions of US securities laws or state laws. It is also unclear whether the courts in Malaysia would entertain original actions brought against us, our directors, or officers, based on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as it may, 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obtained in countries not listed in the First Schedule to REJA must be enforced according to the common law rule in Malaysia. The United States is not listed as a reciprocating country in the First Schedule to REJA. To enforce a judgment issued in the United States in Malaysia under Malaysian common law principles, fresh proceedings must be initiated in a Malaysia court. There are specific conditions that must be met for these foreign judgments to be enforceable. These conditions include the following:</w:t>
      </w:r>
    </w:p>
    <w:p>
      <w:pPr>
        <w:pStyle w:val="TextBody"/>
        <w:bidi w:val="0"/>
        <w:spacing w:before="0" w:after="0"/>
        <w:ind w:left="0" w:right="0" w:hanging="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75"/>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605" w:type="dxa"/>
            <w:tcBorders/>
            <w:vAlign w:val="center"/>
          </w:tcPr>
          <w:p>
            <w:pPr>
              <w:pStyle w:val="TableContents"/>
              <w:bidi w:val="0"/>
              <w:spacing w:before="0" w:after="283"/>
              <w:jc w:val="both"/>
              <w:rPr/>
            </w:pPr>
            <w:r>
              <w:rPr/>
              <w:t>The judgment is for a definite sum, and which is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29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50" w:type="dxa"/>
            <w:tcBorders/>
            <w:vAlign w:val="center"/>
          </w:tcPr>
          <w:p>
            <w:pPr>
              <w:pStyle w:val="TableContents"/>
              <w:bidi w:val="0"/>
              <w:spacing w:before="0" w:after="283"/>
              <w:jc w:val="both"/>
              <w:rPr/>
            </w:pPr>
            <w:r>
              <w:rPr/>
              <w:t>The original court granting the judgment had jurisdiction in the action;</w:t>
            </w:r>
          </w:p>
        </w:tc>
      </w:tr>
    </w:tbl>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75"/>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935" w:type="dxa"/>
            <w:tcBorders/>
            <w:vAlign w:val="center"/>
          </w:tcPr>
          <w:p>
            <w:pPr>
              <w:pStyle w:val="TableContents"/>
              <w:bidi w:val="0"/>
              <w:spacing w:before="0" w:after="283"/>
              <w:jc w:val="both"/>
              <w:rPr/>
            </w:pPr>
            <w:r>
              <w:rPr/>
              <w:t>The judgment was not obtained by fraud;</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9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both"/>
              <w:rPr/>
            </w:pPr>
            <w:r>
              <w:rPr/>
              <w:t>The proceedings in which the judgment was obtained were not contrary to natural justice; and</w:t>
            </w:r>
          </w:p>
        </w:tc>
      </w:tr>
    </w:tbl>
    <w:p>
      <w:pPr>
        <w:pStyle w:val="TextBody"/>
        <w:bidi w:val="0"/>
        <w:spacing w:before="0" w:after="0"/>
        <w:ind w:left="0"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7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075" w:type="dxa"/>
            <w:tcBorders/>
            <w:vAlign w:val="center"/>
          </w:tcPr>
          <w:p>
            <w:pPr>
              <w:pStyle w:val="TableContents"/>
              <w:bidi w:val="0"/>
              <w:spacing w:before="0" w:after="283"/>
              <w:jc w:val="both"/>
              <w:rPr/>
            </w:pPr>
            <w:r>
              <w:rPr/>
              <w:t>The enforcement of the judgment would not be contrary to public policy in Malaysia.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supplement(s) relating to the offering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our home country,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directors and principal shareholders are exempt from the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that contains reports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are part of a registration statement on Form F-3 that we filed with the SEC and do not contain all of the information in the registration statement. You may inspect a copy of the registration statement through the SEC’s website, as provided above.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This means that we can disclose important information by referring you to another document filed separately with the SEC. The information incorporated by reference is considered to be a part of this prospectus, and information that we file with the SEC after the date of this prospectus and before the termination or completion of this offering will also be deemed to be incorporated by reference into this prospectus and to be a part hereof from the date of filing of such documents and will automatically update and supersede previously filed information, including information contained in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we are incorporating by reference are: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Reports on Form 6-K furnished to the SEC on </w:t>
            </w:r>
            <w:hyperlink r:id="rId3">
              <w:r>
                <w:rPr>
                  <w:rStyle w:val="InternetLink"/>
                </w:rPr>
                <w:t>April 28, 2026</w:t>
              </w:r>
            </w:hyperlink>
            <w:r>
              <w:rPr/>
              <w:t xml:space="preserve">, </w:t>
            </w:r>
            <w:hyperlink r:id="rId4">
              <w:r>
                <w:rPr>
                  <w:rStyle w:val="InternetLink"/>
                </w:rPr>
                <w:t>June 16, 2026</w:t>
              </w:r>
            </w:hyperlink>
            <w:r>
              <w:rPr/>
              <w:t xml:space="preserve">, </w:t>
            </w:r>
            <w:hyperlink r:id="rId5">
              <w:r>
                <w:rPr>
                  <w:rStyle w:val="InternetLink"/>
                </w:rPr>
                <w:t>June 24, 2026</w:t>
              </w:r>
            </w:hyperlink>
            <w:r>
              <w:rPr/>
              <w:t xml:space="preserve">, and </w:t>
            </w:r>
            <w:hyperlink r:id="rId6">
              <w:r>
                <w:rPr>
                  <w:rStyle w:val="InternetLink"/>
                </w:rPr>
                <w:t>June 29,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7">
              <w:r>
                <w:rPr>
                  <w:rStyle w:val="InternetLink"/>
                </w:rPr>
                <w:t>Form 20-F</w:t>
              </w:r>
            </w:hyperlink>
            <w:r>
              <w:rPr/>
              <w:t xml:space="preserve"> for the fiscal year ended December 31, 2025, filed with the SEC on April 21, 2026, as amended by Amendment No. 1 to </w:t>
            </w:r>
            <w:hyperlink r:id="rId8">
              <w:r>
                <w:rPr>
                  <w:rStyle w:val="InternetLink"/>
                </w:rPr>
                <w:t>Form 20-F</w:t>
              </w:r>
            </w:hyperlink>
            <w:r>
              <w:rPr/>
              <w:t xml:space="preserve"> filed with the SEC on April 24, 2026;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Class A ordinary shares contained in our registration statement on </w:t>
            </w:r>
            <w:hyperlink r:id="rId9">
              <w:r>
                <w:rPr>
                  <w:rStyle w:val="InternetLink"/>
                </w:rPr>
                <w:t>Form 8-A</w:t>
              </w:r>
            </w:hyperlink>
            <w:r>
              <w:rPr/>
              <w:t xml:space="preserve"> filed on April 18, 2024  pursuant to Section 12 of the Exchange Act, together with all amendments and reports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incorporating by reference all subsequent Annual Reports on Form 20-F that we file with the SEC and we may also incorporate certain reports on Forms 6-K that we furnish to the SEC by identifying in such forms that they are being incorporated by reference into this Form F-3 after (i) the date of the initial registration statement of which this prospectus forms a part and prior to effectiveness of such registration statement (if they state that they are incorporated by reference into such registration statement) and (ii) the date of this prospectus prior to the termination of this offering (if they state that they are incorporated by reference into this prospectus). In all cases, you should rely on the later information over different information included in this prospectus or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Zhi Yong (Jason) Phua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9842 0085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Annual Report on Form 20-F for the fiscal year ended December 31, 2025 and in our reports on Form 6-K incorporated by reference herein and as disclosed in this prospectus, no reportable material changes have occurred since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civil fraud or the consequences of committing a crime. Our memorandum and articles of association provide that we shall indemnify each of our directors, officers and other persons as determined by our board of directors, against all actions, proceedings, costs, charges, expenses, losses, damages or liabilities incurred or sustained in connection with the execution or discharge of their duties, powers, authorities or discretions, except as a result of their own dishonesty, wilful default or fraud. This right of indemnification shall not exclude any other right to which any such person may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offer letters to directors, we agree to indemnify our directors against certain liabilities and expenses incurred by such persons in connection with claims made by reason of their being such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for our directors, officers or persons controlling us under the foregoing provisions, we have been informed that, in the opinion of the SEC, such indemnification is against public policy as expressed in the Securities Act and is therefore unenforceable as a matter of United States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 or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22"/>
        <w:gridCol w:w="60"/>
        <w:gridCol w:w="9023"/>
      </w:tblGrid>
      <w:tr>
        <w:trPr/>
        <w:tc>
          <w:tcPr>
            <w:tcW w:w="1122" w:type="dxa"/>
            <w:tcBorders>
              <w:bottom w:val="single" w:sz="8" w:space="0" w:color="000000"/>
            </w:tcBorders>
            <w:vAlign w:val="center"/>
          </w:tcPr>
          <w:p>
            <w:pPr>
              <w:pStyle w:val="TableContents"/>
              <w:bidi w:val="0"/>
              <w:spacing w:before="0" w:after="283"/>
              <w:jc w:val="left"/>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9023" w:type="dxa"/>
            <w:tcBorders>
              <w:bottom w:val="single" w:sz="8" w:space="0" w:color="000000"/>
            </w:tcBorders>
            <w:vAlign w:val="center"/>
          </w:tcPr>
          <w:p>
            <w:pPr>
              <w:pStyle w:val="TableContents"/>
              <w:bidi w:val="0"/>
              <w:spacing w:before="0" w:after="283"/>
              <w:jc w:val="both"/>
              <w:rPr>
                <w:b/>
              </w:rPr>
            </w:pPr>
            <w:r>
              <w:rPr>
                <w:b/>
              </w:rPr>
              <w:t xml:space="preserve">Exhibit Description </w:t>
            </w:r>
          </w:p>
        </w:tc>
      </w:tr>
      <w:tr>
        <w:trPr/>
        <w:tc>
          <w:tcPr>
            <w:tcW w:w="1122" w:type="dxa"/>
            <w:tcBorders/>
            <w:tcMar>
              <w:bottom w:w="0" w:type="dxa"/>
            </w:tcMar>
            <w:vAlign w:val="center"/>
          </w:tcPr>
          <w:p>
            <w:pPr>
              <w:pStyle w:val="TableContents"/>
              <w:bidi w:val="0"/>
              <w:spacing w:before="0" w:after="283"/>
              <w:jc w:val="left"/>
              <w:rPr/>
            </w:pPr>
            <w:r>
              <w:rPr/>
              <w:t>1.1**</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r>
              <w:rPr/>
              <w:t>Form of Underwriting Agreement</w:t>
            </w:r>
          </w:p>
        </w:tc>
      </w:tr>
      <w:tr>
        <w:trPr/>
        <w:tc>
          <w:tcPr>
            <w:tcW w:w="1122"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r:id="rId10">
              <w:r>
                <w:rPr>
                  <w:rStyle w:val="InternetLink"/>
                </w:rPr>
                <w:t>Description of the Registrant’s Securities Registered Pursuant to Section 12 of the Securities Exchange Act of 1934 (incorporated here by reference to Exhibit 2.1 to Amendment No.1 to our Annual Report on Form 20-F (File No. 001-42026) filed by the Company with the SEC on April 24, 2026)</w:t>
              </w:r>
            </w:hyperlink>
          </w:p>
        </w:tc>
      </w:tr>
      <w:tr>
        <w:trPr/>
        <w:tc>
          <w:tcPr>
            <w:tcW w:w="1122" w:type="dxa"/>
            <w:tcBorders/>
            <w:tcMar>
              <w:bottom w:w="0" w:type="dxa"/>
            </w:tcMar>
            <w:vAlign w:val="center"/>
          </w:tcPr>
          <w:p>
            <w:pPr>
              <w:pStyle w:val="TableContents"/>
              <w:bidi w:val="0"/>
              <w:spacing w:before="0" w:after="283"/>
              <w:jc w:val="left"/>
              <w:rPr/>
            </w:pPr>
            <w:r>
              <w:rPr/>
              <w:t>4.2*</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4-2.htm">
              <w:r>
                <w:rPr>
                  <w:rStyle w:val="InternetLink"/>
                </w:rPr>
                <w:t>Form of Indenture (including form of Debt Securities)</w:t>
              </w:r>
            </w:hyperlink>
          </w:p>
        </w:tc>
      </w:tr>
      <w:tr>
        <w:trPr/>
        <w:tc>
          <w:tcPr>
            <w:tcW w:w="1122"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r>
              <w:rPr/>
              <w:t>Form of Warrant Agreement (including Warrant Certificate)</w:t>
            </w:r>
          </w:p>
        </w:tc>
      </w:tr>
      <w:tr>
        <w:trPr/>
        <w:tc>
          <w:tcPr>
            <w:tcW w:w="1122" w:type="dxa"/>
            <w:tcBorders/>
            <w:tcMar>
              <w:bottom w:w="0" w:type="dxa"/>
            </w:tcMar>
            <w:vAlign w:val="center"/>
          </w:tcPr>
          <w:p>
            <w:pPr>
              <w:pStyle w:val="TableContents"/>
              <w:bidi w:val="0"/>
              <w:spacing w:before="0" w:after="283"/>
              <w:jc w:val="left"/>
              <w:rPr/>
            </w:pPr>
            <w:r>
              <w:rPr/>
              <w:t>4.4**</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r>
              <w:rPr/>
              <w:t>Form of Subscription Right Agreement (including form of Right Certificate)</w:t>
            </w:r>
          </w:p>
        </w:tc>
      </w:tr>
      <w:tr>
        <w:trPr/>
        <w:tc>
          <w:tcPr>
            <w:tcW w:w="1122" w:type="dxa"/>
            <w:tcBorders/>
            <w:tcMar>
              <w:bottom w:w="0" w:type="dxa"/>
            </w:tcMar>
            <w:vAlign w:val="center"/>
          </w:tcPr>
          <w:p>
            <w:pPr>
              <w:pStyle w:val="TableContents"/>
              <w:bidi w:val="0"/>
              <w:spacing w:before="0" w:after="283"/>
              <w:jc w:val="left"/>
              <w:rPr/>
            </w:pPr>
            <w:r>
              <w:rPr/>
              <w:t>4.5**</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r>
              <w:rPr/>
              <w:t>Form of Unit Agreement (including form of Unit Certificate)</w:t>
            </w:r>
          </w:p>
        </w:tc>
      </w:tr>
      <w:tr>
        <w:trPr/>
        <w:tc>
          <w:tcPr>
            <w:tcW w:w="1122" w:type="dxa"/>
            <w:tcBorders/>
            <w:tcMar>
              <w:bottom w:w="0" w:type="dxa"/>
            </w:tcMar>
            <w:vAlign w:val="center"/>
          </w:tcPr>
          <w:p>
            <w:pPr>
              <w:pStyle w:val="TableContents"/>
              <w:bidi w:val="0"/>
              <w:spacing w:before="0" w:after="283"/>
              <w:jc w:val="left"/>
              <w:rPr/>
            </w:pPr>
            <w:r>
              <w:rPr/>
              <w:t>5.1*</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5-1.htm">
              <w:r>
                <w:rPr>
                  <w:rStyle w:val="InternetLink"/>
                </w:rPr>
                <w:t>Opinion of Mourant Ozannes (British Virgin Islands)  regarding the validity of the securities being registered and certain British Virgin Islands legal matters</w:t>
              </w:r>
            </w:hyperlink>
          </w:p>
        </w:tc>
      </w:tr>
      <w:tr>
        <w:trPr/>
        <w:tc>
          <w:tcPr>
            <w:tcW w:w="1122" w:type="dxa"/>
            <w:tcBorders/>
            <w:tcMar>
              <w:bottom w:w="0" w:type="dxa"/>
            </w:tcMar>
            <w:vAlign w:val="center"/>
          </w:tcPr>
          <w:p>
            <w:pPr>
              <w:pStyle w:val="TableContents"/>
              <w:bidi w:val="0"/>
              <w:spacing w:before="0" w:after="283"/>
              <w:jc w:val="left"/>
              <w:rPr/>
            </w:pPr>
            <w:r>
              <w:rPr/>
              <w:t>23.1*</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23-1.htm">
              <w:r>
                <w:rPr>
                  <w:rStyle w:val="InternetLink"/>
                </w:rPr>
                <w:t xml:space="preserve">Consent of Marcum Asia CPAs LLP, an independent registered public accounting firm </w:t>
              </w:r>
            </w:hyperlink>
          </w:p>
        </w:tc>
      </w:tr>
      <w:tr>
        <w:trPr/>
        <w:tc>
          <w:tcPr>
            <w:tcW w:w="1122" w:type="dxa"/>
            <w:tcBorders/>
            <w:tcMar>
              <w:bottom w:w="0" w:type="dxa"/>
            </w:tcMar>
            <w:vAlign w:val="center"/>
          </w:tcPr>
          <w:p>
            <w:pPr>
              <w:pStyle w:val="TableContents"/>
              <w:bidi w:val="0"/>
              <w:spacing w:before="0" w:after="283"/>
              <w:jc w:val="left"/>
              <w:rPr/>
            </w:pPr>
            <w:r>
              <w:rPr/>
              <w:t>23.2*</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5-1.htm">
              <w:r>
                <w:rPr>
                  <w:rStyle w:val="InternetLink"/>
                </w:rPr>
                <w:t xml:space="preserve">Consent of Mourant Ozannes (British Virgin Islands) (included in Exhibit 5.1) </w:t>
              </w:r>
            </w:hyperlink>
          </w:p>
        </w:tc>
      </w:tr>
      <w:tr>
        <w:trPr/>
        <w:tc>
          <w:tcPr>
            <w:tcW w:w="1122" w:type="dxa"/>
            <w:tcBorders/>
            <w:tcMar>
              <w:bottom w:w="0" w:type="dxa"/>
            </w:tcMar>
            <w:vAlign w:val="center"/>
          </w:tcPr>
          <w:p>
            <w:pPr>
              <w:pStyle w:val="TableContents"/>
              <w:bidi w:val="0"/>
              <w:spacing w:before="0" w:after="283"/>
              <w:jc w:val="left"/>
              <w:rPr/>
            </w:pPr>
            <w:r>
              <w:rPr/>
              <w:t>23.3*</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23-3.htm">
              <w:r>
                <w:rPr>
                  <w:rStyle w:val="InternetLink"/>
                </w:rPr>
                <w:t>Consent of Triangle Legal LLC</w:t>
              </w:r>
            </w:hyperlink>
          </w:p>
        </w:tc>
      </w:tr>
      <w:tr>
        <w:trPr/>
        <w:tc>
          <w:tcPr>
            <w:tcW w:w="1122" w:type="dxa"/>
            <w:tcBorders/>
            <w:tcMar>
              <w:bottom w:w="0" w:type="dxa"/>
            </w:tcMar>
            <w:vAlign w:val="center"/>
          </w:tcPr>
          <w:p>
            <w:pPr>
              <w:pStyle w:val="TableContents"/>
              <w:bidi w:val="0"/>
              <w:spacing w:before="0" w:after="283"/>
              <w:jc w:val="left"/>
              <w:rPr/>
            </w:pPr>
            <w:r>
              <w:rPr/>
              <w:t>23.4*</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23-4.htm">
              <w:r>
                <w:rPr>
                  <w:rStyle w:val="InternetLink"/>
                </w:rPr>
                <w:t>Consent of HL Tan Lim &amp; Partners</w:t>
              </w:r>
            </w:hyperlink>
          </w:p>
        </w:tc>
      </w:tr>
      <w:tr>
        <w:trPr/>
        <w:tc>
          <w:tcPr>
            <w:tcW w:w="1122" w:type="dxa"/>
            <w:tcBorders/>
            <w:tcMar>
              <w:bottom w:w="0" w:type="dxa"/>
            </w:tcMar>
            <w:vAlign w:val="center"/>
          </w:tcPr>
          <w:p>
            <w:pPr>
              <w:pStyle w:val="TableContents"/>
              <w:bidi w:val="0"/>
              <w:spacing w:before="0" w:after="283"/>
              <w:jc w:val="left"/>
              <w:rPr/>
            </w:pPr>
            <w:r>
              <w:rPr/>
              <w:t>24.1*</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p_001">
              <w:r>
                <w:rPr>
                  <w:rStyle w:val="InternetLink"/>
                </w:rPr>
                <w:t>Power of Attorney (included on the signature page)</w:t>
              </w:r>
            </w:hyperlink>
          </w:p>
        </w:tc>
      </w:tr>
      <w:tr>
        <w:trPr/>
        <w:tc>
          <w:tcPr>
            <w:tcW w:w="1122" w:type="dxa"/>
            <w:tcBorders/>
            <w:tcMar>
              <w:bottom w:w="0" w:type="dxa"/>
            </w:tcMar>
            <w:vAlign w:val="center"/>
          </w:tcPr>
          <w:p>
            <w:pPr>
              <w:pStyle w:val="TableContents"/>
              <w:bidi w:val="0"/>
              <w:spacing w:before="0" w:after="283"/>
              <w:jc w:val="left"/>
              <w:rPr/>
            </w:pPr>
            <w:r>
              <w:rPr/>
              <w:t>107* </w:t>
            </w:r>
          </w:p>
        </w:tc>
        <w:tc>
          <w:tcPr>
            <w:tcW w:w="60" w:type="dxa"/>
            <w:tcBorders/>
            <w:tcMar>
              <w:bottom w:w="0" w:type="dxa"/>
            </w:tcMar>
            <w:vAlign w:val="center"/>
          </w:tcPr>
          <w:p>
            <w:pPr>
              <w:pStyle w:val="TableContents"/>
              <w:bidi w:val="0"/>
              <w:spacing w:before="0" w:after="283"/>
              <w:jc w:val="left"/>
              <w:rPr/>
            </w:pPr>
            <w:r>
              <w:rPr/>
              <w:t> </w:t>
            </w:r>
          </w:p>
        </w:tc>
        <w:tc>
          <w:tcPr>
            <w:tcW w:w="9023" w:type="dxa"/>
            <w:tcBorders/>
            <w:tcMar>
              <w:bottom w:w="0" w:type="dxa"/>
            </w:tcMar>
            <w:vAlign w:val="center"/>
          </w:tcPr>
          <w:p>
            <w:pPr>
              <w:pStyle w:val="TableContents"/>
              <w:bidi w:val="0"/>
              <w:spacing w:before="0" w:after="283"/>
              <w:jc w:val="both"/>
              <w:rPr/>
            </w:pPr>
            <w:hyperlink w:anchor="yyghex-fee.htm">
              <w:r>
                <w:rPr>
                  <w:rStyle w:val="InternetLink"/>
                </w:rPr>
                <w:t xml:space="preserve">Calculation of Filing Fee Table </w:t>
              </w:r>
            </w:hyperlink>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To be filed by an amendment or as an exhibit to a document to be incorporated by reference into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75"/>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400"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firstLine="36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(iii)</w:t>
            </w:r>
          </w:p>
        </w:tc>
        <w:tc>
          <w:tcPr>
            <w:tcW w:w="9845" w:type="dxa"/>
            <w:tcBorders/>
            <w:vAlign w:val="center"/>
          </w:tcPr>
          <w:p>
            <w:pPr>
              <w:pStyle w:val="TableContents"/>
              <w:bidi w:val="0"/>
              <w:spacing w:before="0" w:after="283"/>
              <w:jc w:val="both"/>
              <w:rPr/>
            </w:pPr>
            <w:r>
              <w:rPr/>
              <w:t xml:space="preserve">To include any material information with respect to the plan of distribution not previously disclosed in the registration statement or any material change to such information in the registration statement; </w:t>
            </w:r>
            <w:r>
              <w:rPr>
                <w:i/>
              </w:rPr>
              <w:t>provided</w:t>
            </w:r>
            <w:r>
              <w:rPr/>
              <w:t xml:space="preserve">, </w:t>
            </w:r>
            <w:r>
              <w:rPr>
                <w:i/>
              </w:rPr>
              <w:t>however</w:t>
            </w:r>
            <w:r>
              <w:rPr/>
              <w:t>, that paragraphs (a)(1)(i), (a)(1)(ii), and (a)(1)(iii)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a part of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3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Securities Exchange Act of 1934 that are incorporated by reference in the Form F-3.</w:t>
            </w:r>
          </w:p>
        </w:tc>
      </w:tr>
    </w:tbl>
    <w:p>
      <w:pPr>
        <w:pStyle w:val="TextBody"/>
        <w:bidi w:val="0"/>
        <w:spacing w:before="0" w:after="0"/>
        <w:ind w:left="360" w:right="0" w:firstLine="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ind w:left="36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Singapore on July 10, 2026.</w:t>
      </w:r>
    </w:p>
    <w:p>
      <w:pPr>
        <w:pStyle w:val="TextBody"/>
        <w:bidi w:val="0"/>
        <w:spacing w:before="0" w:after="0"/>
        <w:ind w:left="0" w:right="0" w:firstLine="72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75"/>
        <w:gridCol w:w="365"/>
        <w:gridCol w:w="710"/>
        <w:gridCol w:w="5600"/>
      </w:tblGrid>
      <w:tr>
        <w:trPr/>
        <w:tc>
          <w:tcPr>
            <w:tcW w:w="75" w:type="dxa"/>
            <w:tcBorders/>
            <w:vAlign w:val="center"/>
          </w:tcPr>
          <w:p>
            <w:pPr>
              <w:pStyle w:val="TableContents"/>
              <w:bidi w:val="0"/>
              <w:spacing w:before="0" w:after="283"/>
              <w:jc w:val="left"/>
              <w:rPr/>
            </w:pPr>
            <w:r>
              <w:rPr/>
              <w:t> </w:t>
            </w:r>
          </w:p>
        </w:tc>
        <w:tc>
          <w:tcPr>
            <w:tcW w:w="6675" w:type="dxa"/>
            <w:gridSpan w:val="3"/>
            <w:tcBorders/>
            <w:vAlign w:val="center"/>
          </w:tcPr>
          <w:p>
            <w:pPr>
              <w:pStyle w:val="TableContents"/>
              <w:bidi w:val="0"/>
              <w:spacing w:before="0" w:after="283"/>
              <w:jc w:val="left"/>
              <w:rPr>
                <w:b/>
              </w:rPr>
            </w:pPr>
            <w:r>
              <w:rPr>
                <w:b/>
              </w:rPr>
              <w:t>YY Group Holding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10" w:type="dxa"/>
            <w:gridSpan w:val="2"/>
            <w:tcBorders>
              <w:bottom w:val="single" w:sz="8" w:space="0" w:color="000000"/>
            </w:tcBorders>
            <w:tcMar>
              <w:bottom w:w="28" w:type="dxa"/>
            </w:tcMar>
            <w:vAlign w:val="center"/>
          </w:tcPr>
          <w:p>
            <w:pPr>
              <w:pStyle w:val="TableContents"/>
              <w:bidi w:val="0"/>
              <w:spacing w:before="0" w:after="283"/>
              <w:jc w:val="left"/>
              <w:rPr/>
            </w:pPr>
            <w:r>
              <w:rPr/>
              <w:t>/s/ Xiaowei Fu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5600" w:type="dxa"/>
            <w:tcBorders/>
            <w:vAlign w:val="center"/>
          </w:tcPr>
          <w:p>
            <w:pPr>
              <w:pStyle w:val="TableContents"/>
              <w:bidi w:val="0"/>
              <w:spacing w:before="0" w:after="283"/>
              <w:jc w:val="left"/>
              <w:rPr/>
            </w:pPr>
            <w:r>
              <w:rPr/>
              <w:t>Xiaowei Fu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5600" w:type="dxa"/>
            <w:tcBorders/>
            <w:vAlign w:val="center"/>
          </w:tcPr>
          <w:p>
            <w:pPr>
              <w:pStyle w:val="TableContents"/>
              <w:bidi w:val="0"/>
              <w:spacing w:before="0" w:after="283"/>
              <w:jc w:val="left"/>
              <w:rPr/>
            </w:pPr>
            <w:r>
              <w:rPr/>
              <w:t>Chairman, Chief Executive Officer and 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p_001"/>
      <w:bookmarkEnd w:id="25"/>
      <w:r>
        <w:rPr>
          <w:rFonts w:ascii="Times New Roman;Times;Serif" w:hAnsi="Times New Roman;Times;Serif"/>
          <w:b/>
          <w:i w:val="false"/>
          <w:caps/>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Xiaowei Fu and Zhi Yong (Jason) Phua as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for all intents and purposes as he or she might or could do in person, hereby ratifying and confirming all that said attorney-in-fact and agent or his substitute, each acting alone, may lawfully do or cause to be done by virtue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indicated on July 10, 2026.</w:t>
      </w:r>
    </w:p>
    <w:p>
      <w:pPr>
        <w:pStyle w:val="TextBody"/>
        <w:bidi w:val="0"/>
        <w:spacing w:before="0" w:after="0"/>
        <w:ind w:left="0" w:right="0" w:firstLine="720"/>
        <w:jc w:val="both"/>
        <w:rPr>
          <w:caps w:val="false"/>
          <w:smallCaps w:val="false"/>
        </w:rPr>
      </w:pPr>
      <w:r>
        <w:rPr>
          <w:caps w:val="false"/>
          <w:smallCaps w:val="false"/>
        </w:rPr>
        <w:t> </w:t>
      </w:r>
    </w:p>
    <w:tbl>
      <w:tblPr>
        <w:tblW w:w="8680" w:type="dxa"/>
        <w:jc w:val="left"/>
        <w:tblInd w:w="0" w:type="dxa"/>
        <w:tblLayout w:type="fixed"/>
        <w:tblCellMar>
          <w:top w:w="0" w:type="dxa"/>
          <w:left w:w="0" w:type="dxa"/>
          <w:bottom w:w="28" w:type="dxa"/>
          <w:right w:w="0" w:type="dxa"/>
        </w:tblCellMar>
      </w:tblPr>
      <w:tblGrid>
        <w:gridCol w:w="3020"/>
        <w:gridCol w:w="60"/>
        <w:gridCol w:w="5600"/>
      </w:tblGrid>
      <w:tr>
        <w:trPr/>
        <w:tc>
          <w:tcPr>
            <w:tcW w:w="302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5600" w:type="dxa"/>
            <w:tcBorders>
              <w:bottom w:val="single" w:sz="8" w:space="0" w:color="000000"/>
            </w:tcBorders>
            <w:vAlign w:val="center"/>
          </w:tcPr>
          <w:p>
            <w:pPr>
              <w:pStyle w:val="TableContents"/>
              <w:bidi w:val="0"/>
              <w:spacing w:before="0" w:after="283"/>
              <w:jc w:val="center"/>
              <w:rPr>
                <w:b/>
              </w:rPr>
            </w:pPr>
            <w:r>
              <w:rPr>
                <w:b/>
              </w:rPr>
              <w:t>Title</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left"/>
              <w:rPr/>
            </w:pPr>
            <w:r>
              <w:rPr/>
              <w:t>/s/ Xiaowei Fu</w:t>
            </w:r>
          </w:p>
        </w:tc>
        <w:tc>
          <w:tcPr>
            <w:tcW w:w="60" w:type="dxa"/>
            <w:tcBorders/>
            <w:tcMar>
              <w:bottom w:w="0" w:type="dxa"/>
            </w:tcMar>
            <w:vAlign w:val="center"/>
          </w:tcPr>
          <w:p>
            <w:pPr>
              <w:pStyle w:val="TableContents"/>
              <w:bidi w:val="0"/>
              <w:spacing w:before="0" w:after="283"/>
              <w:jc w:val="left"/>
              <w:rPr/>
            </w:pPr>
            <w:r>
              <w:rPr/>
              <w:t> </w:t>
            </w:r>
          </w:p>
        </w:tc>
        <w:tc>
          <w:tcPr>
            <w:tcW w:w="5600" w:type="dxa"/>
            <w:vMerge w:val="restart"/>
            <w:tcBorders/>
            <w:tcMar>
              <w:bottom w:w="0" w:type="dxa"/>
            </w:tcMar>
            <w:vAlign w:val="center"/>
          </w:tcPr>
          <w:p>
            <w:pPr>
              <w:pStyle w:val="TableContents"/>
              <w:bidi w:val="0"/>
              <w:spacing w:before="0" w:after="283"/>
              <w:jc w:val="center"/>
              <w:rPr/>
            </w:pPr>
            <w:r>
              <w:rPr/>
              <w:t>Chairman, Chief Executive Officer and Executive Director</w:t>
            </w:r>
          </w:p>
        </w:tc>
      </w:tr>
      <w:tr>
        <w:trPr/>
        <w:tc>
          <w:tcPr>
            <w:tcW w:w="3020" w:type="dxa"/>
            <w:tcBorders/>
            <w:tcMar>
              <w:bottom w:w="0" w:type="dxa"/>
            </w:tcMar>
            <w:vAlign w:val="center"/>
          </w:tcPr>
          <w:p>
            <w:pPr>
              <w:pStyle w:val="TableContents"/>
              <w:bidi w:val="0"/>
              <w:spacing w:before="0" w:after="283"/>
              <w:jc w:val="left"/>
              <w:rPr/>
            </w:pPr>
            <w:r>
              <w:rPr/>
              <w:t>Xiaowei Fu</w:t>
            </w:r>
          </w:p>
        </w:tc>
        <w:tc>
          <w:tcPr>
            <w:tcW w:w="60" w:type="dxa"/>
            <w:tcBorders/>
            <w:tcMar>
              <w:bottom w:w="0" w:type="dxa"/>
            </w:tcMar>
            <w:vAlign w:val="center"/>
          </w:tcPr>
          <w:p>
            <w:pPr>
              <w:pStyle w:val="TableContents"/>
              <w:bidi w:val="0"/>
              <w:spacing w:before="0" w:after="283"/>
              <w:jc w:val="left"/>
              <w:rPr/>
            </w:pPr>
            <w:r>
              <w:rPr/>
              <w:t> </w:t>
            </w:r>
          </w:p>
        </w:tc>
        <w:tc>
          <w:tcPr>
            <w:tcW w:w="5600" w:type="dxa"/>
            <w:vMerge w:val="continue"/>
            <w:tcBorders/>
            <w:tcMar>
              <w:bottom w:w="0" w:type="dxa"/>
            </w:tcMar>
            <w:vAlign w:val="center"/>
          </w:tcPr>
          <w:p>
            <w:pPr>
              <w:pStyle w:val="Normal"/>
              <w:bidi w:val="0"/>
              <w:jc w:val="left"/>
              <w:rPr/>
            </w:pPr>
            <w:r>
              <w:rPr/>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left"/>
              <w:rPr/>
            </w:pPr>
            <w:r>
              <w:rPr/>
              <w:t>/s/ Fan Zhang</w:t>
            </w:r>
          </w:p>
        </w:tc>
        <w:tc>
          <w:tcPr>
            <w:tcW w:w="60" w:type="dxa"/>
            <w:tcBorders/>
            <w:tcMar>
              <w:bottom w:w="0" w:type="dxa"/>
            </w:tcMar>
            <w:vAlign w:val="center"/>
          </w:tcPr>
          <w:p>
            <w:pPr>
              <w:pStyle w:val="TableContents"/>
              <w:bidi w:val="0"/>
              <w:spacing w:before="0" w:after="283"/>
              <w:jc w:val="left"/>
              <w:rPr/>
            </w:pPr>
            <w:r>
              <w:rPr/>
              <w:t> </w:t>
            </w:r>
          </w:p>
        </w:tc>
        <w:tc>
          <w:tcPr>
            <w:tcW w:w="5600" w:type="dxa"/>
            <w:vMerge w:val="restart"/>
            <w:tcBorders/>
            <w:tcMar>
              <w:bottom w:w="0" w:type="dxa"/>
            </w:tcMar>
            <w:vAlign w:val="center"/>
          </w:tcPr>
          <w:p>
            <w:pPr>
              <w:pStyle w:val="TableContents"/>
              <w:bidi w:val="0"/>
              <w:spacing w:before="0" w:after="283"/>
              <w:jc w:val="center"/>
              <w:rPr/>
            </w:pPr>
            <w:r>
              <w:rPr/>
              <w:t>Business Development Director and Executive Director</w:t>
            </w:r>
          </w:p>
        </w:tc>
      </w:tr>
      <w:tr>
        <w:trPr/>
        <w:tc>
          <w:tcPr>
            <w:tcW w:w="3020" w:type="dxa"/>
            <w:tcBorders/>
            <w:tcMar>
              <w:bottom w:w="0" w:type="dxa"/>
            </w:tcMar>
            <w:vAlign w:val="center"/>
          </w:tcPr>
          <w:p>
            <w:pPr>
              <w:pStyle w:val="TableContents"/>
              <w:bidi w:val="0"/>
              <w:spacing w:before="0" w:after="283"/>
              <w:jc w:val="left"/>
              <w:rPr/>
            </w:pPr>
            <w:r>
              <w:rPr/>
              <w:t>Fan Zhang</w:t>
            </w:r>
          </w:p>
        </w:tc>
        <w:tc>
          <w:tcPr>
            <w:tcW w:w="60" w:type="dxa"/>
            <w:tcBorders/>
            <w:tcMar>
              <w:bottom w:w="0" w:type="dxa"/>
            </w:tcMar>
            <w:vAlign w:val="center"/>
          </w:tcPr>
          <w:p>
            <w:pPr>
              <w:pStyle w:val="TableContents"/>
              <w:bidi w:val="0"/>
              <w:spacing w:before="0" w:after="283"/>
              <w:jc w:val="left"/>
              <w:rPr/>
            </w:pPr>
            <w:r>
              <w:rPr/>
              <w:t> </w:t>
            </w:r>
          </w:p>
        </w:tc>
        <w:tc>
          <w:tcPr>
            <w:tcW w:w="5600" w:type="dxa"/>
            <w:vMerge w:val="continue"/>
            <w:tcBorders/>
            <w:tcMar>
              <w:bottom w:w="0" w:type="dxa"/>
            </w:tcMar>
            <w:vAlign w:val="center"/>
          </w:tcPr>
          <w:p>
            <w:pPr>
              <w:pStyle w:val="Normal"/>
              <w:bidi w:val="0"/>
              <w:jc w:val="left"/>
              <w:rPr/>
            </w:pPr>
            <w:r>
              <w:rPr/>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left"/>
              <w:rPr/>
            </w:pPr>
            <w:r>
              <w:rPr/>
              <w:t>/s/ Zhi Yong (Jason) Phua</w:t>
            </w:r>
          </w:p>
        </w:tc>
        <w:tc>
          <w:tcPr>
            <w:tcW w:w="60" w:type="dxa"/>
            <w:tcBorders/>
            <w:tcMar>
              <w:bottom w:w="0" w:type="dxa"/>
            </w:tcMar>
            <w:vAlign w:val="center"/>
          </w:tcPr>
          <w:p>
            <w:pPr>
              <w:pStyle w:val="TableContents"/>
              <w:bidi w:val="0"/>
              <w:spacing w:before="0" w:after="283"/>
              <w:jc w:val="left"/>
              <w:rPr/>
            </w:pPr>
            <w:r>
              <w:rPr/>
              <w:t> </w:t>
            </w:r>
          </w:p>
        </w:tc>
        <w:tc>
          <w:tcPr>
            <w:tcW w:w="5600" w:type="dxa"/>
            <w:vMerge w:val="restart"/>
            <w:tcBorders/>
            <w:tcMar>
              <w:bottom w:w="0" w:type="dxa"/>
            </w:tcMar>
            <w:vAlign w:val="center"/>
          </w:tcPr>
          <w:p>
            <w:pPr>
              <w:pStyle w:val="TableContents"/>
              <w:bidi w:val="0"/>
              <w:spacing w:before="0" w:after="283"/>
              <w:jc w:val="center"/>
              <w:rPr/>
            </w:pPr>
            <w:r>
              <w:rPr/>
              <w:t>Chief Financial Officer</w:t>
            </w:r>
          </w:p>
        </w:tc>
      </w:tr>
      <w:tr>
        <w:trPr/>
        <w:tc>
          <w:tcPr>
            <w:tcW w:w="3020" w:type="dxa"/>
            <w:tcBorders/>
            <w:tcMar>
              <w:bottom w:w="0" w:type="dxa"/>
            </w:tcMar>
            <w:vAlign w:val="center"/>
          </w:tcPr>
          <w:p>
            <w:pPr>
              <w:pStyle w:val="TableContents"/>
              <w:bidi w:val="0"/>
              <w:spacing w:before="0" w:after="283"/>
              <w:jc w:val="left"/>
              <w:rPr/>
            </w:pPr>
            <w:r>
              <w:rPr/>
              <w:t>Zhi Yong (Jason) Phua</w:t>
            </w:r>
          </w:p>
        </w:tc>
        <w:tc>
          <w:tcPr>
            <w:tcW w:w="60" w:type="dxa"/>
            <w:tcBorders/>
            <w:tcMar>
              <w:bottom w:w="0" w:type="dxa"/>
            </w:tcMar>
            <w:vAlign w:val="center"/>
          </w:tcPr>
          <w:p>
            <w:pPr>
              <w:pStyle w:val="TableContents"/>
              <w:bidi w:val="0"/>
              <w:spacing w:before="0" w:after="283"/>
              <w:jc w:val="left"/>
              <w:rPr/>
            </w:pPr>
            <w:r>
              <w:rPr/>
              <w:t> </w:t>
            </w:r>
          </w:p>
        </w:tc>
        <w:tc>
          <w:tcPr>
            <w:tcW w:w="5600" w:type="dxa"/>
            <w:vMerge w:val="continue"/>
            <w:tcBorders/>
            <w:tcMar>
              <w:bottom w:w="0" w:type="dxa"/>
            </w:tcMar>
            <w:vAlign w:val="center"/>
          </w:tcPr>
          <w:p>
            <w:pPr>
              <w:pStyle w:val="Normal"/>
              <w:bidi w:val="0"/>
              <w:jc w:val="left"/>
              <w:rPr/>
            </w:pPr>
            <w:r>
              <w:rPr/>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left"/>
              <w:rPr/>
            </w:pPr>
            <w:r>
              <w:rPr/>
              <w:t>/s/ Kai Ching Lim</w:t>
            </w:r>
          </w:p>
        </w:tc>
        <w:tc>
          <w:tcPr>
            <w:tcW w:w="60" w:type="dxa"/>
            <w:tcBorders/>
            <w:tcMar>
              <w:bottom w:w="0" w:type="dxa"/>
            </w:tcMar>
            <w:vAlign w:val="center"/>
          </w:tcPr>
          <w:p>
            <w:pPr>
              <w:pStyle w:val="TableContents"/>
              <w:bidi w:val="0"/>
              <w:spacing w:before="0" w:after="283"/>
              <w:jc w:val="left"/>
              <w:rPr/>
            </w:pPr>
            <w:r>
              <w:rPr/>
              <w:t> </w:t>
            </w:r>
          </w:p>
        </w:tc>
        <w:tc>
          <w:tcPr>
            <w:tcW w:w="5600" w:type="dxa"/>
            <w:vMerge w:val="restart"/>
            <w:tcBorders/>
            <w:tcMar>
              <w:bottom w:w="0" w:type="dxa"/>
            </w:tcMar>
            <w:vAlign w:val="center"/>
          </w:tcPr>
          <w:p>
            <w:pPr>
              <w:pStyle w:val="TableContents"/>
              <w:bidi w:val="0"/>
              <w:spacing w:before="0" w:after="283"/>
              <w:jc w:val="center"/>
              <w:rPr/>
            </w:pPr>
            <w:r>
              <w:rPr/>
              <w:t>Independent Director</w:t>
            </w:r>
          </w:p>
        </w:tc>
      </w:tr>
      <w:tr>
        <w:trPr/>
        <w:tc>
          <w:tcPr>
            <w:tcW w:w="3020" w:type="dxa"/>
            <w:tcBorders/>
            <w:tcMar>
              <w:bottom w:w="0" w:type="dxa"/>
            </w:tcMar>
            <w:vAlign w:val="center"/>
          </w:tcPr>
          <w:p>
            <w:pPr>
              <w:pStyle w:val="TableContents"/>
              <w:bidi w:val="0"/>
              <w:spacing w:before="0" w:after="283"/>
              <w:jc w:val="left"/>
              <w:rPr/>
            </w:pPr>
            <w:r>
              <w:rPr/>
              <w:t>Kai Ching Lim</w:t>
            </w:r>
          </w:p>
        </w:tc>
        <w:tc>
          <w:tcPr>
            <w:tcW w:w="60" w:type="dxa"/>
            <w:tcBorders/>
            <w:tcMar>
              <w:bottom w:w="0" w:type="dxa"/>
            </w:tcMar>
            <w:vAlign w:val="center"/>
          </w:tcPr>
          <w:p>
            <w:pPr>
              <w:pStyle w:val="TableContents"/>
              <w:bidi w:val="0"/>
              <w:spacing w:before="0" w:after="283"/>
              <w:jc w:val="left"/>
              <w:rPr/>
            </w:pPr>
            <w:r>
              <w:rPr/>
              <w:t> </w:t>
            </w:r>
          </w:p>
        </w:tc>
        <w:tc>
          <w:tcPr>
            <w:tcW w:w="5600" w:type="dxa"/>
            <w:vMerge w:val="continue"/>
            <w:tcBorders/>
            <w:tcMar>
              <w:bottom w:w="0" w:type="dxa"/>
            </w:tcMar>
            <w:vAlign w:val="center"/>
          </w:tcPr>
          <w:p>
            <w:pPr>
              <w:pStyle w:val="Normal"/>
              <w:bidi w:val="0"/>
              <w:jc w:val="left"/>
              <w:rPr/>
            </w:pPr>
            <w:r>
              <w:rPr/>
            </w:r>
          </w:p>
        </w:tc>
      </w:tr>
      <w:tr>
        <w:trPr/>
        <w:tc>
          <w:tcPr>
            <w:tcW w:w="30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left"/>
              <w:rPr/>
            </w:pPr>
            <w:r>
              <w:rPr/>
              <w:t>/s/ York Chao (Nicholas) Ngoh</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Independent Director</w:t>
            </w:r>
          </w:p>
        </w:tc>
      </w:tr>
      <w:tr>
        <w:trPr/>
        <w:tc>
          <w:tcPr>
            <w:tcW w:w="3020" w:type="dxa"/>
            <w:tcBorders/>
            <w:tcMar>
              <w:bottom w:w="0" w:type="dxa"/>
            </w:tcMar>
            <w:vAlign w:val="center"/>
          </w:tcPr>
          <w:p>
            <w:pPr>
              <w:pStyle w:val="TableContents"/>
              <w:bidi w:val="0"/>
              <w:spacing w:before="0" w:after="283"/>
              <w:jc w:val="left"/>
              <w:rPr/>
            </w:pPr>
            <w:r>
              <w:rPr/>
              <w:t>York Chao (Nicholas) Ngoh</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left"/>
              <w:rPr/>
            </w:pPr>
            <w:r>
              <w:rPr/>
              <w:t>/s/ Yongxian Chan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Independent Director</w:t>
            </w:r>
          </w:p>
        </w:tc>
      </w:tr>
      <w:tr>
        <w:trPr/>
        <w:tc>
          <w:tcPr>
            <w:tcW w:w="3020" w:type="dxa"/>
            <w:tcBorders/>
            <w:tcMar>
              <w:bottom w:w="0" w:type="dxa"/>
            </w:tcMar>
            <w:vAlign w:val="center"/>
          </w:tcPr>
          <w:p>
            <w:pPr>
              <w:pStyle w:val="TableContents"/>
              <w:bidi w:val="0"/>
              <w:spacing w:before="0" w:after="283"/>
              <w:jc w:val="left"/>
              <w:rPr/>
            </w:pPr>
            <w:r>
              <w:rPr/>
              <w:t>Yongxian Chan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YY Group Holding Limited has signed this registration statement in Newark, Delaware on July 10,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U.S. Representative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85"/>
        <w:gridCol w:w="4970"/>
        <w:gridCol w:w="75"/>
      </w:tblGrid>
      <w:tr>
        <w:trPr/>
        <w:tc>
          <w:tcPr>
            <w:tcW w:w="785" w:type="dxa"/>
            <w:tcBorders/>
            <w:vAlign w:val="center"/>
          </w:tcPr>
          <w:p>
            <w:pPr>
              <w:pStyle w:val="TableContents"/>
              <w:bidi w:val="0"/>
              <w:spacing w:before="0" w:after="283"/>
              <w:jc w:val="left"/>
              <w:rPr/>
            </w:pPr>
            <w:r>
              <w:rPr/>
              <w:t>By:</w:t>
            </w:r>
          </w:p>
        </w:tc>
        <w:tc>
          <w:tcPr>
            <w:tcW w:w="4970" w:type="dxa"/>
            <w:tcBorders>
              <w:bottom w:val="single" w:sz="8" w:space="0" w:color="000000"/>
            </w:tcBorders>
            <w:tcMar>
              <w:bottom w:w="28" w:type="dxa"/>
            </w:tcMar>
            <w:vAlign w:val="center"/>
          </w:tcPr>
          <w:p>
            <w:pPr>
              <w:pStyle w:val="TableContents"/>
              <w:bidi w:val="0"/>
              <w:spacing w:before="0" w:after="283"/>
              <w:jc w:val="left"/>
              <w:rPr/>
            </w:pPr>
            <w:r>
              <w:rPr/>
              <w:t>/s/ Colleen A. De Vries</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Name:  </w:t>
            </w:r>
          </w:p>
        </w:tc>
        <w:tc>
          <w:tcPr>
            <w:tcW w:w="4970" w:type="dxa"/>
            <w:tcBorders/>
            <w:vAlign w:val="center"/>
          </w:tcPr>
          <w:p>
            <w:pPr>
              <w:pStyle w:val="TableContents"/>
              <w:bidi w:val="0"/>
              <w:spacing w:before="0" w:after="283"/>
              <w:jc w:val="left"/>
              <w:rPr/>
            </w:pPr>
            <w:r>
              <w:rPr/>
              <w:t>Collen A. De Vries</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Title:</w:t>
            </w:r>
          </w:p>
        </w:tc>
        <w:tc>
          <w:tcPr>
            <w:tcW w:w="4970" w:type="dxa"/>
            <w:tcBorders/>
            <w:vAlign w:val="center"/>
          </w:tcPr>
          <w:p>
            <w:pPr>
              <w:pStyle w:val="TableContents"/>
              <w:bidi w:val="0"/>
              <w:spacing w:before="0" w:after="283"/>
              <w:jc w:val="left"/>
              <w:rPr/>
            </w:pPr>
            <w:r>
              <w:rPr/>
              <w:t>Sr. Vice President on behalf of Cogency Global Inc.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yyghex4-2.htm"/>
      <w:bookmarkStart w:id="27" w:name="ksyyghex42"/>
      <w:bookmarkEnd w:id="26"/>
      <w:bookmarkEnd w:id="27"/>
      <w:r>
        <w:rPr>
          <w:rFonts w:ascii="Times New Roman;Times;Serif" w:hAnsi="Times New Roman;Times;Serif"/>
          <w:b/>
          <w:i w:val="false"/>
          <w:caps w:val="false"/>
          <w:smallCaps w:val="false"/>
          <w:sz w:val="20"/>
        </w:rPr>
        <w:t>Exhibit 4.2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YY Group Holding Limited, </w:t>
      </w:r>
      <w:r>
        <w:rPr>
          <w:rFonts w:ascii="Times New Roman;Times;Serif" w:hAnsi="Times New Roman;Times;Serif"/>
          <w:b w:val="false"/>
          <w:i w:val="false"/>
          <w:caps w:val="false"/>
          <w:smallCaps w:val="false"/>
          <w:sz w:val="20"/>
        </w:rPr>
        <w:t>as</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188" w:type="dxa"/>
        <w:jc w:val="left"/>
        <w:tblInd w:w="0" w:type="dxa"/>
        <w:tblLayout w:type="fixed"/>
        <w:tblCellMar>
          <w:top w:w="0" w:type="dxa"/>
          <w:left w:w="0" w:type="dxa"/>
          <w:bottom w:w="0" w:type="dxa"/>
          <w:right w:w="0" w:type="dxa"/>
        </w:tblCellMar>
      </w:tblPr>
      <w:tblGrid>
        <w:gridCol w:w="1118"/>
        <w:gridCol w:w="63"/>
        <w:gridCol w:w="4537"/>
        <w:gridCol w:w="470"/>
      </w:tblGrid>
      <w:tr>
        <w:trPr/>
        <w:tc>
          <w:tcPr>
            <w:tcW w:w="111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Page </w:t>
            </w:r>
          </w:p>
        </w:tc>
      </w:tr>
      <w:tr>
        <w:trPr/>
        <w:tc>
          <w:tcPr>
            <w:tcW w:w="57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INCORPORATION BY REFERENCE</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11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1.02</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Definitions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1.03</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Incorporation by Reference of Trust Indenture Act</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1.04</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Rules of Construction</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718" w:type="dxa"/>
            <w:gridSpan w:val="3"/>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ind w:left="0" w:right="0" w:hanging="200"/>
              <w:jc w:val="center"/>
              <w:rPr/>
            </w:pPr>
            <w:r>
              <w:rPr/>
              <w:t> </w:t>
            </w:r>
          </w:p>
        </w:tc>
      </w:tr>
      <w:tr>
        <w:trPr/>
        <w:tc>
          <w:tcPr>
            <w:tcW w:w="571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11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2.01</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Issuable in Series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2.02</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Establishment of Terms of Series of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2.03</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Execution and Authentication</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2.04</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Registrar and Paying Agent</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2.05</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Paying Agent to Hold Money in Trust</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2.06</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 Lists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2.07</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and Exchange</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2.08</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Mutilated, Destroyed, Lost and Stolen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2.09</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Outstanding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2.10</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Treasury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2.11</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Temporary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2.12</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Cancellation</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2.13</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Defaulted Interest</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2.14</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Global Securities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1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2.15</w:t>
            </w:r>
          </w:p>
        </w:tc>
        <w:tc>
          <w:tcPr>
            <w:tcW w:w="63" w:type="dxa"/>
            <w:tcBorders/>
            <w:vAlign w:val="center"/>
          </w:tcPr>
          <w:p>
            <w:pPr>
              <w:pStyle w:val="TableContents"/>
              <w:bidi w:val="0"/>
              <w:spacing w:before="0" w:after="283"/>
              <w:jc w:val="left"/>
              <w:rPr/>
            </w:pPr>
            <w:r>
              <w:rPr/>
              <w:t> </w:t>
            </w:r>
          </w:p>
        </w:tc>
        <w:tc>
          <w:tcPr>
            <w:tcW w:w="45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Numbers</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1055"/>
        <w:gridCol w:w="60"/>
        <w:gridCol w:w="5420"/>
        <w:gridCol w:w="245"/>
      </w:tblGrid>
      <w:tr>
        <w:trPr/>
        <w:tc>
          <w:tcPr>
            <w:tcW w:w="6535"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ARTICLE III REDEMPTION</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3.01</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to Trustee</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3.02</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Selection of Securities to be Redeemed</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3.03</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Redemption</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3.04</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Notice of Redemption</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3.05</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Deposit of Redemption Price</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3.06</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Redeemed in Part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535"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200"/>
              <w:jc w:val="center"/>
              <w:rPr/>
            </w:pPr>
            <w:r>
              <w:rPr/>
              <w:t> </w:t>
            </w:r>
          </w:p>
        </w:tc>
      </w:tr>
      <w:tr>
        <w:trPr/>
        <w:tc>
          <w:tcPr>
            <w:tcW w:w="65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COVENANTS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4.01</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 of Principal and Interest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4.02</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 Reports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4.03</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Certificate</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4.04</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Stay, Extension and Usury Laws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535"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200"/>
              <w:jc w:val="center"/>
              <w:rPr/>
            </w:pPr>
            <w:r>
              <w:rPr/>
              <w:t> </w:t>
            </w:r>
          </w:p>
        </w:tc>
      </w:tr>
      <w:tr>
        <w:trPr/>
        <w:tc>
          <w:tcPr>
            <w:tcW w:w="65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SUCCESSORS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5.01</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When Company May Merge, etc.</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5.02</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 Corporation Substituted</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200"/>
              <w:jc w:val="center"/>
              <w:rPr/>
            </w:pPr>
            <w:r>
              <w:rPr/>
              <w:t> </w:t>
            </w:r>
          </w:p>
        </w:tc>
      </w:tr>
      <w:tr>
        <w:trPr/>
        <w:tc>
          <w:tcPr>
            <w:tcW w:w="65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DEFAULTS AND REMEDIES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6.01</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Events of Default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6.02</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Acceleration of Maturity; Rescission and Annulment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6.03</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Collection of Indebtedness and Suits for Enforcement by Trustee</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6.04</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 May File Proofs of Claim</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6.05</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 May Enforce Claims Without Possession of Securities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6.06</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Application of Money Collected</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6.07</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 on Suits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1055"/>
        <w:gridCol w:w="60"/>
        <w:gridCol w:w="5465"/>
        <w:gridCol w:w="275"/>
      </w:tblGrid>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6.08</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Unconditional Right of Holders to Receive Principal and Interest</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6.09</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Restoration of Rights and Remedies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6.10</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Rights and Remedies Cumulative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6.11</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Delay or Omission Not Waiver</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6.12</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Control by Holders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6.13</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Waiver of Past Defaults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6.14</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Undertaking for Costs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580" w:type="dxa"/>
            <w:gridSpan w:val="3"/>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200"/>
              <w:jc w:val="center"/>
              <w:rPr/>
            </w:pPr>
            <w:r>
              <w:rPr/>
              <w:t> </w:t>
            </w:r>
          </w:p>
        </w:tc>
      </w:tr>
      <w:tr>
        <w:trPr/>
        <w:tc>
          <w:tcPr>
            <w:tcW w:w="658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TRUSTEE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7.01</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Duties of Trustee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7.02</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Rights of Trustee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7.03</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Individual Rights of Trustee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7.04</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Trustee’s Disclaimer</w:t>
            </w:r>
          </w:p>
        </w:tc>
        <w:tc>
          <w:tcPr>
            <w:tcW w:w="275" w:type="dxa"/>
            <w:tcBorders/>
            <w:vAlign w:val="center"/>
          </w:tcPr>
          <w:p>
            <w:pPr>
              <w:pStyle w:val="TableContents"/>
              <w:bidi w:val="0"/>
              <w:spacing w:before="0" w:after="283"/>
              <w:jc w:val="center"/>
              <w:rPr/>
            </w:pPr>
            <w:r>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7.05</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Defaults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7.06</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Reports by Trustee to Holders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7.07</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Compensation and Indemnity</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7.08</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Replacement of Trustee</w:t>
            </w:r>
          </w:p>
        </w:tc>
        <w:tc>
          <w:tcPr>
            <w:tcW w:w="275" w:type="dxa"/>
            <w:tcBorders/>
            <w:vAlign w:val="center"/>
          </w:tcPr>
          <w:p>
            <w:pPr>
              <w:pStyle w:val="TableContents"/>
              <w:bidi w:val="0"/>
              <w:spacing w:before="0" w:after="283"/>
              <w:jc w:val="center"/>
              <w:rPr/>
            </w:pPr>
            <w:r>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7.09</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 Trustee by Merger, etc.</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7.10</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Eligibility; Disqualification</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7.11</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Preferential Collection of Claims Against Company</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580" w:type="dxa"/>
            <w:gridSpan w:val="3"/>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200"/>
              <w:jc w:val="center"/>
              <w:rPr/>
            </w:pPr>
            <w:r>
              <w:rPr/>
              <w:t> </w:t>
            </w:r>
          </w:p>
        </w:tc>
      </w:tr>
      <w:tr>
        <w:trPr/>
        <w:tc>
          <w:tcPr>
            <w:tcW w:w="658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SATISFACTION AND DISCHARGE; DEFEASANCE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8.01</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Satisfaction and Discharge of Indenture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8.02</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Application of Trust Funds; Indemnification</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8.03</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Defeasance of Securities of any Series</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8.04</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Covenant Defeasance</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8.05</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Repayment to Company</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8.06</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Reinstatement</w:t>
            </w:r>
          </w:p>
        </w:tc>
        <w:tc>
          <w:tcPr>
            <w:tcW w:w="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160"/>
        <w:gridCol w:w="60"/>
        <w:gridCol w:w="4535"/>
        <w:gridCol w:w="245"/>
      </w:tblGrid>
      <w:tr>
        <w:trPr/>
        <w:tc>
          <w:tcPr>
            <w:tcW w:w="5755"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ARTICLE IX AMENDMENTS AND WAIVERS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9.01</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Without Consent of Holders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9.02</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With Consent of Holders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9.03</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9.04</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 with Trust Indenture Act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9.05</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Revocation and Effect of Consents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9.06</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Notation on or Exchange of Securities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9.07</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 Protected</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200"/>
              <w:jc w:val="center"/>
              <w:rPr/>
            </w:pPr>
            <w:r>
              <w:rPr/>
              <w:t> </w:t>
            </w:r>
          </w:p>
        </w:tc>
      </w:tr>
      <w:tr>
        <w:trPr/>
        <w:tc>
          <w:tcPr>
            <w:tcW w:w="57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10.01</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 Indenture Act Controls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10.02</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10.03</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Communication by Holders with Other Holders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10.04</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Certificate and Opinion as to Conditions Precedent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10.05</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Statements Required in Certificate or Opinion</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10.06</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Rules by Trustee and Agents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10.07</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Holidays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10.08</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Recourse Against Others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10.09</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Counterparts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10.10</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10.11</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Adverse Interpretation of Other Agreements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10.12</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10.13</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Severability</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10.14</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Table of Contents, Headings, etc.</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10.15</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in a Foreign Currency</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10.16</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Patriot Act</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10.17</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Waiver of Jury Trial</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5755"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200"/>
              <w:jc w:val="center"/>
              <w:rPr/>
            </w:pPr>
            <w:r>
              <w:rPr/>
              <w:t> </w:t>
            </w:r>
          </w:p>
        </w:tc>
      </w:tr>
      <w:tr>
        <w:trPr/>
        <w:tc>
          <w:tcPr>
            <w:tcW w:w="57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SINKING FUNDS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11.01</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Applicability of Article</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11.02</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Satisfaction of Sinking Fund Payments with Securities</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11.03</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of Securities for Sinking Fund</w:t>
            </w:r>
          </w:p>
        </w:tc>
        <w:tc>
          <w:tcPr>
            <w:tcW w:w="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and tie between Trust Indenture Act of 1939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 dated as of [ ].</w:t>
      </w:r>
    </w:p>
    <w:p>
      <w:pPr>
        <w:pStyle w:val="TextBody"/>
        <w:bidi w:val="0"/>
        <w:spacing w:before="0" w:after="0"/>
        <w:ind w:left="0" w:right="0" w:hanging="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490"/>
        <w:gridCol w:w="60"/>
        <w:gridCol w:w="1640"/>
      </w:tblGrid>
      <w:tr>
        <w:trPr/>
        <w:tc>
          <w:tcPr>
            <w:tcW w:w="1490"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Section 310 (a)(1)</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7.10</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7.10</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(a)(5)</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7.10</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7.10</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 (a)</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7.11</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7.11</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 (a)</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2.06</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10.03</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10.03</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 (a)</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7.06</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(b)(1)</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7.06</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(b)(2)</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7.06</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7.06</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7.06</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 (a)</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4.02, 10.05</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10.04</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(c)(2)</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10.04</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(c)(3)</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10.05</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 (a)</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7.01</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7.05</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7.01</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7.01</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6.14</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 (a)</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2.10</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(a)(1)(a)</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6.12</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(a)(1)(b)</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6.13</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6.08</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 (a)(1)</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6.03</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6.04</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ind w:left="0" w:right="0" w:hanging="200"/>
              <w:jc w:val="right"/>
              <w:rPr>
                <w:rFonts w:ascii="Times New Roman;Times;Serif" w:hAnsi="Times New Roman;Times;Serif"/>
                <w:sz w:val="20"/>
              </w:rPr>
            </w:pPr>
            <w:r>
              <w:rPr>
                <w:rFonts w:ascii="Times New Roman;Times;Serif" w:hAnsi="Times New Roman;Times;Serif"/>
                <w:sz w:val="20"/>
              </w:rPr>
              <w:t>2.05</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 (a)</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 ], between YY Group Holding Limited, a British Virgin Islands company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 ], as trustee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herein or therein and which are owing to such Holders, as calculated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transaction involving a Global Security or beneficial interest therein, the rules and procedures of DTC or any successor Depositary, in each case to the extent applicable to such transaction and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an authorized officer of the Company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Interests</w:t>
      </w:r>
      <w:r>
        <w:rPr>
          <w:rFonts w:ascii="Times New Roman;Times;Serif" w:hAnsi="Times New Roman;Times;Serif"/>
          <w:b w:val="false"/>
          <w:i w:val="false"/>
          <w:caps w:val="false"/>
          <w:smallCaps w:val="false"/>
          <w:sz w:val="20"/>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replaces it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Request</w:t>
      </w:r>
      <w:r>
        <w:rPr>
          <w:rFonts w:ascii="Times New Roman;Times;Serif" w:hAnsi="Times New Roman;Times;Serif"/>
          <w:b w:val="false"/>
          <w:i w:val="false"/>
          <w:caps w:val="false"/>
          <w:smallCaps w:val="false"/>
          <w:sz w:val="20"/>
        </w:rPr>
        <w:t>” means a written request signed in the name of the Company by its Chief Executive Officer or Chief Financial Officer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address of the Trustee specified in Section 10.02, or such other address as to which the Trustee may give notice to the Holders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whole or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means the Depository Trust Company, a New York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with respect to any Discount Security which by its terms bears interest only after Maturity means interest payable after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Chief Executive Officer, Chief Financial Officer, President, or any other officer of the Company designated by the Board of Directors,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who is reasonably acceptable to the Trustee. The counsel may be an employee of or counsel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2.01 and 2.02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 or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Other Definitions.</w:t>
      </w:r>
    </w:p>
    <w:p>
      <w:pPr>
        <w:pStyle w:val="TextBody"/>
        <w:bidi w:val="0"/>
        <w:spacing w:before="0" w:after="0"/>
        <w:ind w:left="0" w:right="0" w:firstLine="720"/>
        <w:jc w:val="left"/>
        <w:rPr>
          <w:caps w:val="false"/>
          <w:smallCaps w:val="false"/>
        </w:rPr>
      </w:pPr>
      <w:r>
        <w:rPr>
          <w:caps w:val="false"/>
          <w:smallCaps w:val="false"/>
        </w:rPr>
        <w:t> </w:t>
      </w:r>
    </w:p>
    <w:tbl>
      <w:tblPr>
        <w:tblW w:w="3669" w:type="dxa"/>
        <w:jc w:val="left"/>
        <w:tblInd w:w="0" w:type="dxa"/>
        <w:tblLayout w:type="fixed"/>
        <w:tblCellMar>
          <w:top w:w="0" w:type="dxa"/>
          <w:left w:w="0" w:type="dxa"/>
          <w:bottom w:w="28" w:type="dxa"/>
          <w:right w:w="0" w:type="dxa"/>
        </w:tblCellMar>
      </w:tblPr>
      <w:tblGrid>
        <w:gridCol w:w="2720"/>
        <w:gridCol w:w="60"/>
        <w:gridCol w:w="86"/>
        <w:gridCol w:w="696"/>
        <w:gridCol w:w="107"/>
      </w:tblGrid>
      <w:tr>
        <w:trPr/>
        <w:tc>
          <w:tcPr>
            <w:tcW w:w="2720" w:type="dxa"/>
            <w:tcBorders>
              <w:bottom w:val="single" w:sz="8" w:space="0" w:color="000000"/>
            </w:tcBorders>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TERM</w:t>
            </w:r>
          </w:p>
        </w:tc>
        <w:tc>
          <w:tcPr>
            <w:tcW w:w="60" w:type="dxa"/>
            <w:tcBorders/>
            <w:tcMar>
              <w:bottom w:w="0" w:type="dxa"/>
            </w:tcMar>
            <w:vAlign w:val="center"/>
          </w:tcPr>
          <w:p>
            <w:pPr>
              <w:pStyle w:val="TableContents"/>
              <w:bidi w:val="0"/>
              <w:spacing w:before="0" w:after="283"/>
              <w:jc w:val="left"/>
              <w:rPr/>
            </w:pPr>
            <w:r>
              <w:rPr/>
              <w:t> </w:t>
            </w:r>
          </w:p>
        </w:tc>
        <w:tc>
          <w:tcPr>
            <w:tcW w:w="889" w:type="dxa"/>
            <w:gridSpan w:val="3"/>
            <w:tcBorders>
              <w:bottom w:val="single" w:sz="8"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Defined in</w:t>
              <w:br/>
              <w:t>Section</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Bankruptcy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107"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Custodian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107"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Event of Default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107"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Legal Holiday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10.07</w:t>
            </w:r>
          </w:p>
        </w:tc>
        <w:tc>
          <w:tcPr>
            <w:tcW w:w="107"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11.01</w:t>
            </w:r>
          </w:p>
        </w:tc>
        <w:tc>
          <w:tcPr>
            <w:tcW w:w="107"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Market Exchange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10.15</w:t>
            </w:r>
          </w:p>
        </w:tc>
        <w:tc>
          <w:tcPr>
            <w:tcW w:w="107"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optional sinking fund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11.01</w:t>
            </w:r>
          </w:p>
        </w:tc>
        <w:tc>
          <w:tcPr>
            <w:tcW w:w="107"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Paying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w:t>
            </w:r>
          </w:p>
        </w:tc>
        <w:tc>
          <w:tcPr>
            <w:tcW w:w="107"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Registrar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w:t>
            </w:r>
          </w:p>
        </w:tc>
        <w:tc>
          <w:tcPr>
            <w:tcW w:w="107"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 Person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w:t>
            </w:r>
          </w:p>
        </w:tc>
        <w:tc>
          <w:tcPr>
            <w:tcW w:w="10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Incorporation by Reference of Trust Indenture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means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security holder</w:t>
      </w:r>
      <w:r>
        <w:rPr>
          <w:rFonts w:ascii="Times New Roman;Times;Serif" w:hAnsi="Times New Roman;Times;Serif"/>
          <w:b w:val="false"/>
          <w:i w:val="false"/>
          <w:caps w:val="false"/>
          <w:smallCaps w:val="false"/>
          <w:sz w:val="20"/>
        </w:rPr>
        <w:t>” means a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institutional trustee</w:t>
      </w:r>
      <w:r>
        <w:rPr>
          <w:rFonts w:ascii="Times New Roman;Times;Serif" w:hAnsi="Times New Roman;Times;Serif"/>
          <w:b w:val="false"/>
          <w:i w:val="false"/>
          <w:caps w:val="false"/>
          <w:smallCaps w:val="false"/>
          <w:sz w:val="20"/>
        </w:rPr>
        <w:t>” means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Rules of Construction.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and “GAAP” shall mean generally accepted accounting principles in effect as of the time when and for the period as to which such accounting principles are to be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Issuable in Series.</w:t>
      </w:r>
      <w:r>
        <w:rPr>
          <w:rFonts w:ascii="Times New Roman;Times;Serif" w:hAnsi="Times New Roman;Times;Serif"/>
          <w:b w:val="false"/>
          <w:i w:val="false"/>
          <w:caps w:val="false"/>
          <w:smallCaps w:val="false"/>
          <w:sz w:val="20"/>
        </w:rPr>
        <w:t> 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Establishment of Terms of Series of Securities.</w:t>
      </w:r>
      <w:r>
        <w:rPr>
          <w:rFonts w:ascii="Times New Roman;Times;Serif" w:hAnsi="Times New Roman;Times;Serif"/>
          <w:b w:val="false"/>
          <w:i w:val="false"/>
          <w:caps w:val="false"/>
          <w:smallCaps w:val="false"/>
          <w:sz w:val="20"/>
        </w:rPr>
        <w:t> At or prior to the issuance of any Securities within a Series, the following shall be 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and title of the Series (which shall distinguish the Securities of that particular Series from the Securities of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or prices (expressed as a percentage of the principal amount thereof) at which the Securities of the Series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2.07, 2.08, 2.11, 3.06 or 9.06);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denominations of $1,000 and any integral multiple thereof, the denominations in which the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principal amount thereof, the portion of the principal amount of the Securities of the Series that shall be payable upon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currency of denomination of the Securities of the Series, which may be Dollars or any Foreign Currency, and the agency or organization, if any, responsible for overseeing such composite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provisions, if any, relating to any security provided for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addition to or change in the covenants set forth in Articles IV or V which applies to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whether the Securities of such Series will be senior debt securities or subordinated debt securities and, if applicable, a description of the subordination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depositaries, interest rate calculation agents, exchange rate calculation agents or other agents with respect to Securities of such Series if other than those appointed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terms of the Securities of the Series (which may modify or delete any provision of this Indenture insofar as it applies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Execution and Authentication.</w:t>
      </w:r>
      <w:r>
        <w:rPr>
          <w:rFonts w:ascii="Times New Roman;Times;Serif" w:hAnsi="Times New Roman;Times;Serif"/>
          <w:b w:val="false"/>
          <w:i w:val="false"/>
          <w:caps w:val="false"/>
          <w:smallCaps w:val="false"/>
          <w:sz w:val="20"/>
        </w:rPr>
        <w:t> At least one Officer shall sign the Securities for the Company by manual or facsimile signature. If an Officer 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electronic instructions in PDF from the Company or its duly authorized agent or agents.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(c)(1) an Opinion of Counsel complying with Section 10.04 or (2) an Opinion of Counsel (or reliance letter with respect to an Opinion of Counsel) that the Securities have been duly authorized, executed and delivered by the Company and such Securities will constitute valid and binding obligations of the Company, enforceable against the Company in accordance with its terms.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Registrar and Paying Agent.</w:t>
      </w:r>
      <w:r>
        <w:rPr>
          <w:rFonts w:ascii="Times New Roman;Times;Serif" w:hAnsi="Times New Roman;Times;Serif"/>
          <w:b w:val="false"/>
          <w:i w:val="false"/>
          <w:caps w:val="false"/>
          <w:smallCaps w:val="false"/>
          <w:sz w:val="20"/>
        </w:rPr>
        <w:t> The Company shall maintain, with respect to each Series of Securities, at the place or places specified with respect to such Series pursuant to Section 2.02, an office or agency where Securities of such Series may be presented or surrendered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and where Securities of such Series may be surrendered for registration of transfer 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The Registrar shall keep a register with respect to each Series of Securities and of their transfer and exchange. The Company hereby appoints the Trustee as Paying Agent and Registrar. The Company will give prompt written notice to the Trustee of the name and address, and any change in the name or address, of each Registrar or Paying Agent. 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and a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 The Company hereby appoints the Trustee as the initial Registrar and Paying Agent for each Series unless another Registrar or Paying Agent, as the case may be, is appointed prior to the time Securities of that Series are first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Paying Agent to Hold Money in Trust.</w:t>
      </w:r>
      <w:r>
        <w:rPr>
          <w:rFonts w:ascii="Times New Roman;Times;Serif" w:hAnsi="Times New Roman;Times;Serif"/>
          <w:b w:val="false"/>
          <w:i w:val="false"/>
          <w:caps w:val="false"/>
          <w:smallCaps w:val="false"/>
          <w:sz w:val="20"/>
        </w:rPr>
        <w:t> 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 Event of Default under Section 6.01(d) or (e), the Trustee shall be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Holder Lists.</w:t>
      </w:r>
      <w:r>
        <w:rPr>
          <w:rFonts w:ascii="Times New Roman;Times;Serif" w:hAnsi="Times New Roman;Times;Serif"/>
          <w:b w:val="false"/>
          <w:i w:val="false"/>
          <w:caps w:val="false"/>
          <w:smallCaps w:val="false"/>
          <w:sz w:val="20"/>
        </w:rPr>
        <w:t> The Trustee shall preserve in as current a form as is reasonably practicable the most recent list available to it of the names and 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Transfer and Exchange.</w:t>
      </w:r>
      <w:r>
        <w:rPr>
          <w:rFonts w:ascii="Times New Roman;Times;Serif" w:hAnsi="Times New Roman;Times;Serif"/>
          <w:b w:val="false"/>
          <w:i w:val="false"/>
          <w:caps w:val="false"/>
          <w:smallCaps w:val="false"/>
          <w:sz w:val="20"/>
        </w:rPr>
        <w:t> 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2.08 Mutilated, Destroyed, Lost and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Outstanding Securities.</w:t>
      </w:r>
      <w:r>
        <w:rPr>
          <w:rFonts w:ascii="Times New Roman;Times;Serif" w:hAnsi="Times New Roman;Times;Serif"/>
          <w:b w:val="false"/>
          <w:i w:val="false"/>
          <w:caps w:val="false"/>
          <w:smallCaps w:val="false"/>
          <w:sz w:val="20"/>
        </w:rPr>
        <w:t>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Treasury Securities.</w:t>
      </w:r>
      <w:r>
        <w:rPr>
          <w:rFonts w:ascii="Times New Roman;Times;Serif" w:hAnsi="Times New Roman;Times;Serif"/>
          <w:b w:val="false"/>
          <w:i w:val="false"/>
          <w:caps w:val="false"/>
          <w:smallCaps w:val="false"/>
          <w:sz w:val="20"/>
        </w:rPr>
        <w:t> In determining whether the Holders of the required principal amount of Securities of a Series have concurred in any 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Temporary Securities.</w:t>
      </w:r>
      <w:r>
        <w:rPr>
          <w:rFonts w:ascii="Times New Roman;Times;Serif" w:hAnsi="Times New Roman;Times;Serif"/>
          <w:b w:val="false"/>
          <w:i w:val="false"/>
          <w:caps w:val="false"/>
          <w:smallCaps w:val="false"/>
          <w:sz w:val="20"/>
        </w:rPr>
        <w:t> 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Cancellation.</w:t>
      </w:r>
      <w:r>
        <w:rPr>
          <w:rFonts w:ascii="Times New Roman;Times;Serif" w:hAnsi="Times New Roman;Times;Serif"/>
          <w:b w:val="false"/>
          <w:i w:val="false"/>
          <w:caps w:val="false"/>
          <w:smallCaps w:val="false"/>
          <w:sz w:val="20"/>
        </w:rPr>
        <w:t> 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registration of transfer, exchange, payment, replacement or cancellation in accordance with its customary procedures. The Company may not issue new Securities to replace Securities that it has paid or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 Defaulted Interest.</w:t>
      </w:r>
      <w:r>
        <w:rPr>
          <w:rFonts w:ascii="Times New Roman;Times;Serif" w:hAnsi="Times New Roman;Times;Serif"/>
          <w:b w:val="false"/>
          <w:i w:val="false"/>
          <w:caps w:val="false"/>
          <w:smallCaps w:val="false"/>
          <w:sz w:val="20"/>
        </w:rPr>
        <w:t> If the Company defaults in a payment of interest on a Series of Securities, it shall pay the defaulted interest at the rate established for the particular Series, if any, plus, to the extent permitted by law, any interest payable on the defaulted interest, to the persons who are Holders of the Series on a subsequent special record date. The Company shall fix the special record date and payment date; provided that if no rate for defaulted interest is specified for any Series of Securities, then the defaulted interest rate shall be the interest rate specified for such Series of Securities. At least ten (10) days before the special record date, the Company shall deliver to the Trustee and to each Holder of the Series a notice that states the record date, the related payment date and the amount of interest to be paid. The Company may also pay defaulted interest in any other lawful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2.14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this Section 2.14(c),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Legend. Any Global Security issued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Acts of Holders.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Payments. Notwithstanding the other provisions of this Indenture, unless otherwise specified as contemplated by Section 2.02, payment of the principal of and interest, if any, on any Global Security shall be made to the Holder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Consents, Declaration and Directions. Except as provided in Section 2.14(g),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 Notwithstanding any other provision of this Indenture or any Security, where this Indenture or any Global Security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2.15 CUSIP Numbers.</w:t>
      </w:r>
      <w:r>
        <w:rPr>
          <w:rFonts w:ascii="Times New Roman;Times;Serif" w:hAnsi="Times New Roman;Times;Serif"/>
          <w:b w:val="false"/>
          <w:i w:val="false"/>
          <w:caps w:val="false"/>
          <w:smallCaps w:val="false"/>
          <w:sz w:val="20"/>
        </w:rPr>
        <w:t> 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Notice to Trustee.</w:t>
      </w:r>
      <w:r>
        <w:rPr>
          <w:rFonts w:ascii="Times New Roman;Times;Serif" w:hAnsi="Times New Roman;Times;Serif"/>
          <w:b w:val="false"/>
          <w:i w:val="false"/>
          <w:caps w:val="false"/>
          <w:smallCaps w:val="false"/>
          <w:sz w:val="20"/>
        </w:rPr>
        <w:t>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the Series of Securities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Selection of Securities to be Redeemed.</w:t>
      </w:r>
      <w:r>
        <w:rPr>
          <w:rFonts w:ascii="Times New Roman;Times;Serif" w:hAnsi="Times New Roman;Times;Serif"/>
          <w:b w:val="false"/>
          <w:i w:val="false"/>
          <w:caps w:val="false"/>
          <w:smallCaps w:val="false"/>
          <w:sz w:val="20"/>
        </w:rPr>
        <w:t> Unless otherwise indicated for a particular Series by a Board Resolution, a supplemental indenture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Securities of a Series and portions selected for redemption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 The Trustee shall not be liable for the selection made in accordance with this Section 3.02.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Notice of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for a particular Series by a Board Resolution, a supplemental indenture or an Officers’ Certificate, at least 30 days but not more than 60 days before a redemption date, the Company shall deliver notice of redemption to each Holder whose Securities are to be redeemed. The notice shall identify the Securities of the Series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or the manner of the calculation of the redemption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name and address of the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Securities of the Series called for redemption must be surrendered to the Paying Agent to collect the redemption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interest on Securities of the Series called for redemption ceases to accrue on and after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CUSIP number, if any;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other information as may be required by the terms of the particular Series or the Securities of a Series being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its expense; provided that the Company shall have delivered to the Trustee, at least five Business Days (or such shorter period as the Trustee may consent to in writing) before notice of redemption is required to be delivered or caused to be delivered to Holders pursuant to this Section 3.03, an Officers’ Certificate of the Company requesting that the Trustee give such notice and setting forth the information to be stated in such notice as provided in the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Effect of Notice of Redemption.</w:t>
      </w:r>
      <w:r>
        <w:rPr>
          <w:rFonts w:ascii="Times New Roman;Times;Serif" w:hAnsi="Times New Roman;Times;Serif"/>
          <w:b w:val="false"/>
          <w:i w:val="false"/>
          <w:caps w:val="false"/>
          <w:smallCaps w:val="false"/>
          <w:sz w:val="20"/>
        </w:rPr>
        <w:t> Once notice of redemption is delivered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Deposit of Redemption Price.</w:t>
      </w:r>
      <w:r>
        <w:rPr>
          <w:rFonts w:ascii="Times New Roman;Times;Serif" w:hAnsi="Times New Roman;Times;Serif"/>
          <w:b w:val="false"/>
          <w:i w:val="false"/>
          <w:caps w:val="false"/>
          <w:smallCaps w:val="false"/>
          <w:sz w:val="20"/>
        </w:rPr>
        <w:t> Unless otherwise indicated for a particular Series by a Board Resolution, a supplemental indenture or an Officers’ Certificate, on or before 11:00 a.m., New York City time, on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Securities Redeemed in Part.</w:t>
      </w:r>
      <w:r>
        <w:rPr>
          <w:rFonts w:ascii="Times New Roman;Times;Serif" w:hAnsi="Times New Roman;Times;Serif"/>
          <w:b w:val="false"/>
          <w:i w:val="false"/>
          <w:caps w:val="false"/>
          <w:smallCaps w:val="false"/>
          <w:sz w:val="20"/>
        </w:rPr>
        <w:t> Upon surrender of a Security that is redeemed in part, the Company shall issue and the Trustee shall authenticate for the Holder a new Security of the same Series and the same maturity equal in principal amount to the unredeemed portion of the Security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 of Principal and Interest.</w:t>
      </w:r>
      <w:r>
        <w:rPr>
          <w:rFonts w:ascii="Times New Roman;Times;Serif" w:hAnsi="Times New Roman;Times;Serif"/>
          <w:b w:val="false"/>
          <w:i w:val="false"/>
          <w:caps w:val="false"/>
          <w:smallCaps w:val="false"/>
          <w:sz w:val="20"/>
        </w:rPr>
        <w:t> 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SEC Reports.</w:t>
      </w:r>
      <w:r>
        <w:rPr>
          <w:rFonts w:ascii="Times New Roman;Times;Serif" w:hAnsi="Times New Roman;Times;Serif"/>
          <w:b w:val="false"/>
          <w:i w:val="false"/>
          <w:caps w:val="false"/>
          <w:smallCaps w:val="false"/>
          <w:sz w:val="20"/>
        </w:rPr>
        <w:t> Any information, documents or other reports that the Company shall file with the Commission pursuant to Section 13 or 15(d) of the Exchange Act shall be filed with the Trustee within 15 days after the same is filed with the Commission; provided that any such information, documents or reports filed or furnished with the Commission pursuant to its Electronic Data Gathering, Analysis and Retrieval (or EDGAR) system shall be deemed filed with the Trustee as of the time such information, documents or reports are filed or furnished via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Compliance Certificate.</w:t>
      </w:r>
      <w:r>
        <w:rPr>
          <w:rFonts w:ascii="Times New Roman;Times;Serif" w:hAnsi="Times New Roman;Times;Serif"/>
          <w:b w:val="false"/>
          <w:i w:val="false"/>
          <w:caps w:val="false"/>
          <w:smallCaps w:val="false"/>
          <w:sz w:val="20"/>
        </w:rPr>
        <w:t> The Company shall, so long as any of the Securities are outstanding, deliver to the Trustee, within 120 days after the 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Stay, Extension and Usury Laws.</w:t>
      </w:r>
      <w:r>
        <w:rPr>
          <w:rFonts w:ascii="Times New Roman;Times;Serif" w:hAnsi="Times New Roman;Times;Serif"/>
          <w:b w:val="false"/>
          <w:i w:val="false"/>
          <w:caps w:val="false"/>
          <w:smallCaps w:val="false"/>
          <w:sz w:val="20"/>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or any other law that would prohibit or forgive the Company from paying all or any portion of the principal of, or interest on, the Securities as contemplated in the Indenture, any indenture supplemental thereto relating to the Securities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When Company May Merge, Etc.</w:t>
      </w:r>
      <w:r>
        <w:rPr>
          <w:rFonts w:ascii="Times New Roman;Times;Serif" w:hAnsi="Times New Roman;Times;Serif"/>
          <w:b w:val="false"/>
          <w:i w:val="false"/>
          <w:caps w:val="false"/>
          <w:smallCaps w:val="false"/>
          <w:sz w:val="20"/>
        </w:rPr>
        <w:t> The Company shall not consolidate with or merge with or into, or convey, transfer or lease all or substantially all of its properties and assets to, another person (a “</w:t>
      </w:r>
      <w:r>
        <w:rPr>
          <w:rFonts w:ascii="Times New Roman;Times;Serif" w:hAnsi="Times New Roman;Times;Serif"/>
          <w:b w:val="false"/>
          <w:i/>
          <w:caps w:val="false"/>
          <w:smallCaps w:val="false"/>
          <w:sz w:val="20"/>
        </w:rPr>
        <w:t>Successor Person</w:t>
      </w:r>
      <w:r>
        <w:rPr>
          <w:rFonts w:ascii="Times New Roman;Times;Serif" w:hAnsi="Times New Roman;Times;Serif"/>
          <w:b w:val="false"/>
          <w:i w:val="false"/>
          <w:caps w:val="false"/>
          <w:smallCaps w:val="false"/>
          <w:sz w:val="20"/>
        </w:rPr>
        <w: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the surviving corporation or the Successor Person (if other than the Company) is organized and validly existing under the laws of any U.S. domestic jurisdiction or under the laws of a foreign jurisdiction and expressly assumes the Company’s obligations on the Securities and under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occurred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Successor Corporation Substituted.</w:t>
      </w:r>
      <w:r>
        <w:rPr>
          <w:rFonts w:ascii="Times New Roman;Times;Serif" w:hAnsi="Times New Roman;Times;Serif"/>
          <w:b w:val="false"/>
          <w:i w:val="false"/>
          <w:caps w:val="false"/>
          <w:smallCaps w:val="false"/>
          <w:sz w:val="20"/>
        </w:rPr>
        <w:t> Upon any consolidation or merger, or any sale, lease, conveyance or other disposition of all or 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 or the terms of such Event of Default have been modified or superseded as set forth in the Board Resolution, supplemental indenture or Officers’ Certificate for such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pursuant to or within the meaning of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or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makes an admission in writing that it is generally unable to pay its debts as the same become due;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court of competent jurisdiction enters an order or decree under any Bankruptcy Law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in an involuntary case,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for all or substantially all of its property,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 and the order or decree remains unstayed and in effect for 90 days;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with respect to Securities of that Series, which is specified in a Board Resolution, a supplemental indenture hereto or an Officers’ Certificate, in accordance with Section 2.02(n).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means Title 11 of the U.S. Code or any similar federal or state law for the relief of debtors. The term “</w:t>
      </w:r>
      <w:r>
        <w:rPr>
          <w:rFonts w:ascii="Times New Roman;Times;Serif" w:hAnsi="Times New Roman;Times;Serif"/>
          <w:b w:val="false"/>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Acceleration of Maturity; Rescission and Annulment.</w:t>
      </w:r>
      <w:r>
        <w:rPr>
          <w:rFonts w:ascii="Times New Roman;Times;Serif" w:hAnsi="Times New Roman;Times;Serif"/>
          <w:b w:val="false"/>
          <w:i w:val="false"/>
          <w:caps w:val="false"/>
          <w:smallCaps w:val="false"/>
          <w:sz w:val="20"/>
        </w:rPr>
        <w:t> If an Event of Default with respect to Securities of any Series at the time outstanding occurs and is continuing (other than an Event of Default referred to in Section 6.01(d)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Securities shall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that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Collection of Indebtedness and Suits for Enforcement by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principal of any Security at the Maturity thereof, 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Trustee May File Proofs of Claim.</w:t>
      </w:r>
      <w:r>
        <w:rPr>
          <w:rFonts w:ascii="Times New Roman;Times;Serif" w:hAnsi="Times New Roman;Times;Serif"/>
          <w:b w:val="false"/>
          <w:i w:val="false"/>
          <w:caps w:val="false"/>
          <w:smallCaps w:val="false"/>
          <w:sz w:val="20"/>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Trustee May Enforce Claims Without Possession of Securities.</w:t>
      </w:r>
      <w:r>
        <w:rPr>
          <w:rFonts w:ascii="Times New Roman;Times;Serif" w:hAnsi="Times New Roman;Times;Serif"/>
          <w:b w:val="false"/>
          <w:i w:val="false"/>
          <w:caps w:val="false"/>
          <w:smallCaps w:val="false"/>
          <w:sz w:val="20"/>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Application of Money Collected.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Limitation on Suits.</w:t>
      </w:r>
      <w:r>
        <w:rPr>
          <w:rFonts w:ascii="Times New Roman;Times;Serif" w:hAnsi="Times New Roman;Times;Serif"/>
          <w:b w:val="false"/>
          <w:i w:val="false"/>
          <w:caps w:val="false"/>
          <w:smallCaps w:val="false"/>
          <w:sz w:val="20"/>
        </w:rPr>
        <w:t> 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a majority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shall have offered to the Trustee security or indemnity satisfactory to it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60-day period by the Holders of a majority in principal amount of the outstanding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6.08 Unconditional Right of Holders to Receive Principal and Interest.</w:t>
      </w:r>
      <w:r>
        <w:rPr>
          <w:rFonts w:ascii="Times New Roman;Times;Serif" w:hAnsi="Times New Roman;Times;Serif"/>
          <w:b w:val="false"/>
          <w:i w:val="false"/>
          <w:caps w:val="false"/>
          <w:smallCaps w:val="false"/>
          <w:sz w:val="20"/>
        </w:rPr>
        <w:t> 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6.09 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 Delay or Omission Not Waiver.</w:t>
      </w:r>
      <w:r>
        <w:rPr>
          <w:rFonts w:ascii="Times New Roman;Times;Serif" w:hAnsi="Times New Roman;Times;Serif"/>
          <w:b w:val="false"/>
          <w:i w:val="false"/>
          <w:caps w:val="false"/>
          <w:smallCaps w:val="false"/>
          <w:sz w:val="20"/>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 Control by Holders.</w:t>
      </w:r>
      <w:r>
        <w:rPr>
          <w:rFonts w:ascii="Times New Roman;Times;Serif" w:hAnsi="Times New Roman;Times;Serif"/>
          <w:b w:val="false"/>
          <w:i w:val="false"/>
          <w:caps w:val="false"/>
          <w:smallCaps w:val="false"/>
          <w:sz w:val="20"/>
        </w:rPr>
        <w:t> Subject to Section 7.02(f),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7.01, the Trustee shall have the right to decline to follow any such direction if the Trustee in good faith shall, by a Responsible Officer of the Trustee, determine that the proceeding so directed would involve the Trustee in personal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6.13 Waiver of Past Defaults.</w:t>
      </w:r>
      <w:r>
        <w:rPr>
          <w:rFonts w:ascii="Times New Roman;Times;Serif" w:hAnsi="Times New Roman;Times;Serif"/>
          <w:b w:val="false"/>
          <w:i w:val="false"/>
          <w:caps w:val="false"/>
          <w:smallCaps w:val="false"/>
          <w:sz w:val="20"/>
        </w:rPr>
        <w:t> The Holders of not less than a majority in principal amount of the outstanding Securities of any Series may on behalf 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 Undertaking for Costs.</w:t>
      </w:r>
      <w:r>
        <w:rPr>
          <w:rFonts w:ascii="Times New Roman;Times;Serif" w:hAnsi="Times New Roman;Times;Serif"/>
          <w:b w:val="false"/>
          <w:i w:val="false"/>
          <w:caps w:val="false"/>
          <w:smallCaps w:val="false"/>
          <w:sz w:val="20"/>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Duties of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others and no implied covenants or obligations shall be read into this Indenture against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and is fully protected,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paragraph (a), (b) and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at the request or direction of any Holder unless it receives indemnity reasonably satisfactory to it against any loss, liability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privileges, protections, immunities and benefits given to the Trustee, including the right to be indemnified, are extended to, and shall be enforceable by the Trustee in each of its capacities hereunder and to its agents. The provisions set forth in paragraphs (a), (b) and (c) of this Section shall apply to the Trustee in each of its capacities hereunder and its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Rights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protected in acting or refraining from acting upon any document believed by it to be genuine and to have been signed or presented by the proper person. The Trustee need not investigate any fact or matter stated in the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at the direction of the Company, it may require an Officers’ Certificate. The Trustee shall not be liable for any action it takes or omits to take in good faith in reliance on such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 provided that the Trustee’s conduct does not constitute negligence or willful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believed by the Trustee to be genuine and to have been signed or delivered by the proper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Default or Event of Default, other than a failure by the Company to make any payment hereunder when due if the Trustee is the Paying Agent,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 and states that it is a “notice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permissive rights of the Trustee enumerated herein shall not be construed as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special, indirect, punitive, incidental or consequential loss or damage of any kind whatsoever (including, but not limited to, lost profits) irrespective of whether the Trustee has been advised of the likelihood of such loss or damage and regardless of the form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Trustee nor any Agent shall be responsible or liable for any failure or delay in the performance of its obligation under this Indenture 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each of the Trustee and Agents shall use commercially reasonable efforts which are consistent with accepted practices in the banking industry to resume performance as soon as reasonably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Individual Rights of Trustee.</w:t>
      </w:r>
      <w:r>
        <w:rPr>
          <w:rFonts w:ascii="Times New Roman;Times;Serif" w:hAnsi="Times New Roman;Times;Serif"/>
          <w:b w:val="false"/>
          <w:i w:val="false"/>
          <w:caps w:val="false"/>
          <w:smallCaps w:val="false"/>
          <w:sz w:val="20"/>
        </w:rPr>
        <w:t>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Trustee’s Disclaimer. </w:t>
      </w:r>
      <w:r>
        <w:rPr>
          <w:rFonts w:ascii="Times New Roman;Times;Serif" w:hAnsi="Times New Roman;Times;Serif"/>
          <w:b w:val="false"/>
          <w:i w:val="false"/>
          <w:caps w:val="false"/>
          <w:smallCaps w:val="false"/>
          <w:sz w:val="20"/>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Notice of Defaults.</w:t>
      </w:r>
      <w:r>
        <w:rPr>
          <w:rFonts w:ascii="Times New Roman;Times;Serif" w:hAnsi="Times New Roman;Times;Serif"/>
          <w:b w:val="false"/>
          <w:i w:val="false"/>
          <w:caps w:val="false"/>
          <w:smallCaps w:val="false"/>
          <w:sz w:val="20"/>
        </w:rPr>
        <w:t> If a Default or Event of Default occurs and is continuing with respect to the Securities of any Series and if it is known to a Responsible Officer of the Trustee, the Trustee shall deliver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Holders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Reports by Trustee to Holders.</w:t>
      </w:r>
      <w:r>
        <w:rPr>
          <w:rFonts w:ascii="Times New Roman;Times;Serif" w:hAnsi="Times New Roman;Times;Serif"/>
          <w:b w:val="false"/>
          <w:i w:val="false"/>
          <w:caps w:val="false"/>
          <w:smallCaps w:val="false"/>
          <w:sz w:val="20"/>
        </w:rPr>
        <w:t> Within 60 days after March 15 in each year, the Trustee shall transmit by deliver to all Holders, as their names and addresses appear on the register kept by the Registrar a brief report dated as of such March 15, in accordance with, and to the extent required under, TIA Section 313. A copy of each report at the time of its delivery to Holders of any Series shall be filed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Compensation and Indemnity.</w:t>
      </w:r>
      <w:r>
        <w:rPr>
          <w:rFonts w:ascii="Times New Roman;Times;Serif" w:hAnsi="Times New Roman;Times;Serif"/>
          <w:b w:val="false"/>
          <w:i w:val="false"/>
          <w:caps w:val="false"/>
          <w:smallCaps w:val="false"/>
          <w:sz w:val="20"/>
        </w:rPr>
        <w:t>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Failure or delay by the Trustee to so notify the Company of any claim for which it may seek indemnity shall not relieve the Company of its obligations hereunder except to the extent such failure or delay shall have materially prejudiced the Company.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gross negligence or willful misconduct of any such persons as determined by a final order of a court of competent jurisdiction. When the Trustee incurs expenses or renders services after an Event of Default specified in Section 6.01(d) or (e) occurs, the expenses and the compensation for the services are intended to constitute expenses of administration under any insolvency, bankruptcy or similar law. The provisions of this Section shall survive the resignation or removal of the Trustee and the termination or discharge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Replacement of Trustee.</w:t>
      </w:r>
      <w:r>
        <w:rPr>
          <w:rFonts w:ascii="Times New Roman;Times;Serif" w:hAnsi="Times New Roman;Times;Serif"/>
          <w:b w:val="false"/>
          <w:i w:val="false"/>
          <w:caps w:val="false"/>
          <w:smallCaps w:val="false"/>
          <w:sz w:val="20"/>
        </w:rPr>
        <w:t> A resignation or removal of the Trustee and appointment of a successor Trustee shall become effective only upon the 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bankrupt or insolvent or an order for relief is entered with respect to the Trustee under any insolvency, bankruptcy or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deliver a notice of its succession to each Holder of each such Series.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Successor Trustee by Merger, etc.</w:t>
      </w:r>
      <w:r>
        <w:rPr>
          <w:rFonts w:ascii="Times New Roman;Times;Serif" w:hAnsi="Times New Roman;Times;Serif"/>
          <w:b w:val="false"/>
          <w:i w:val="false"/>
          <w:caps w:val="false"/>
          <w:smallCaps w:val="false"/>
          <w:sz w:val="20"/>
        </w:rPr>
        <w:t> If the Trustee consolidates with, merges or converts into, or transfers all or substantially all of its corporate trust business (including administration of this Indenture) to, another corporation, the successor corporation without any further act shall be the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Eligibility; Disqualification.</w:t>
      </w:r>
      <w:r>
        <w:rPr>
          <w:rFonts w:ascii="Times New Roman;Times;Serif" w:hAnsi="Times New Roman;Times;Serif"/>
          <w:b w:val="false"/>
          <w:i w:val="false"/>
          <w:caps w:val="false"/>
          <w:smallCaps w:val="false"/>
          <w:sz w:val="20"/>
        </w:rPr>
        <w:t> This Indenture shall always have a Trustee who satisfies the requirements of TIA Section 310(a)(1), (2) and (5) and has a combined capital and surplus of at least $50,000,000. The Trustee shall comply with TIA Section 310(b).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Preferential Collection of Claims Against Company.</w:t>
      </w:r>
      <w:r>
        <w:rPr>
          <w:rFonts w:ascii="Times New Roman;Times;Serif" w:hAnsi="Times New Roman;Times;Serif"/>
          <w:b w:val="false"/>
          <w:i w:val="false"/>
          <w:caps w:val="false"/>
          <w:smallCaps w:val="false"/>
          <w:sz w:val="20"/>
        </w:rPr>
        <w:t> The Trustee is subject to TIA Section 311(a), excluding any creditor relationship listed in TIA Section 311(b). A Trustee who has resigned or been removed shall be subject to TIA Section 311(a) to the extent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Satisfaction and Discharge of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of the following shall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Securities have been issued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Securities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Application of Trust Funds;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Legal Defeasance of Securities of any Series.</w:t>
      </w:r>
      <w:r>
        <w:rPr>
          <w:rFonts w:ascii="Times New Roman;Times;Serif" w:hAnsi="Times New Roman;Times;Serif"/>
          <w:b w:val="false"/>
          <w:i w:val="false"/>
          <w:caps w:val="false"/>
          <w:smallCaps w:val="false"/>
          <w:sz w:val="20"/>
        </w:rPr>
        <w:t> Unless this Section 8.03 is otherwise specified, pursuant to Section 2.02(s),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2.04, 2.05, 2.07, 2.08, 8.02, 8.03 and 8.05;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delivered to the Trustee an Officers’ Certificate and an Opinion of Counsel, each stating that all conditions precedent provided for relating to the defeasance contemplated by this Section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Covenant Defeasance. </w:t>
      </w:r>
      <w:r>
        <w:rPr>
          <w:rFonts w:ascii="Times New Roman;Times;Serif" w:hAnsi="Times New Roman;Times;Serif"/>
          <w:b w:val="false"/>
          <w:i w:val="false"/>
          <w:caps w:val="false"/>
          <w:smallCaps w:val="false"/>
          <w:sz w:val="20"/>
        </w:rPr>
        <w:t>Unless this Section 8.04 is otherwise specified, pursuant to Section 2.02(s), to be inapplicable to Securities of any 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herein provided for relating to the covenant defeasance contemplated by this Section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Repayment to Company.</w:t>
      </w:r>
      <w:r>
        <w:rPr>
          <w:rFonts w:ascii="Times New Roman;Times;Serif" w:hAnsi="Times New Roman;Times;Serif"/>
          <w:b w:val="false"/>
          <w:i w:val="false"/>
          <w:caps w:val="false"/>
          <w:smallCaps w:val="false"/>
          <w:sz w:val="20"/>
        </w:rPr>
        <w:t> The Trustee and the Paying Agent shall pay to the Company upon written request any money held by them for the payment of principal and interest that remains unclaimed for two years, and after such time, Holders entitled to the money must look to the Company for payment as general creditors unless an applicable abandoned property law designates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 Reinstatement.</w:t>
      </w:r>
      <w:r>
        <w:rPr>
          <w:rFonts w:ascii="Times New Roman;Times;Serif" w:hAnsi="Times New Roman;Times;Serif"/>
          <w:b w:val="false"/>
          <w:i w:val="false"/>
          <w:caps w:val="false"/>
          <w:smallCaps w:val="false"/>
          <w:sz w:val="20"/>
        </w:rPr>
        <w:t> If the Trustee or the Paying Agent is unable to apply any money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WAIVERS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Without Consent of Holders.</w:t>
      </w:r>
      <w:r>
        <w:rPr>
          <w:rFonts w:ascii="Times New Roman;Times;Serif" w:hAnsi="Times New Roman;Times;Serif"/>
          <w:b w:val="false"/>
          <w:i w:val="false"/>
          <w:caps w:val="false"/>
          <w:smallCaps w:val="false"/>
          <w:sz w:val="20"/>
        </w:rPr>
        <w:t> Unless otherwise specified for a particular Series by a Board Resolution, a supplemental indenture or an Officers’ Certificate, the Company and the Trustee may amend or supplement this Indenture or the Securities of one or more Series without the consent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person to the Company under this Indenture and the Securities and the assumption by any such Successor Person of the obligations of the Company hereunder and under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add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any additional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establish the forms or terms of the Securities of any series issued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cure any ambiguity or correct any inconsistency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qualify this Indenture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provide for uncertificated securities in addition to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conform the Indenture to any Description of Securities for a particular Series of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comply with the rules or regulations of any securities exchange or automated quotation system on which any of the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With Consent of Holders.</w:t>
      </w:r>
      <w:r>
        <w:rPr>
          <w:rFonts w:ascii="Times New Roman;Times;Serif" w:hAnsi="Times New Roman;Times;Serif"/>
          <w:b w:val="false"/>
          <w:i w:val="false"/>
          <w:caps w:val="false"/>
          <w:smallCaps w:val="false"/>
          <w:sz w:val="20"/>
        </w:rPr>
        <w:t>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Limitations.</w:t>
      </w:r>
      <w:r>
        <w:rPr>
          <w:rFonts w:ascii="Times New Roman;Times;Serif" w:hAnsi="Times New Roman;Times;Serif"/>
          <w:b w:val="false"/>
          <w:i w:val="false"/>
          <w:caps w:val="false"/>
          <w:smallCaps w:val="false"/>
          <w:sz w:val="20"/>
        </w:rPr>
        <w:t> Unless otherwise specified for a particular Series by a Board Resolution, a supplemental indenture or an Officers’ Certificate, without the consent of each Holder affected, an amendment or waiver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amount of Securities whose Holders must consent to an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time for payment of interest (including default interest) on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or change the Stated Maturity of any Security or reduce the amount of, or postpone the date fixed for, the payment of any sinking fund or analogous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amount of Discount Securities payable upon acceleration of the maturity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the principal of or interest, if any, on any Security payable in any currency other than that stated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change in Sections 6.08, 6.13, or 9.03;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redemption payment with respect to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Compliance with Trust Indenture Act.</w:t>
      </w:r>
      <w:r>
        <w:rPr>
          <w:rFonts w:ascii="Times New Roman;Times;Serif" w:hAnsi="Times New Roman;Times;Serif"/>
          <w:b w:val="false"/>
          <w:i w:val="false"/>
          <w:caps w:val="false"/>
          <w:smallCaps w:val="false"/>
          <w:sz w:val="20"/>
        </w:rPr>
        <w:t> Every amendment to this Indenture or the Securities of one or more Series shall be set forth in a supplemental indenture hereto that complies with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Revocation and Effect of Consents.</w:t>
      </w:r>
      <w:r>
        <w:rPr>
          <w:rFonts w:ascii="Times New Roman;Times;Serif" w:hAnsi="Times New Roman;Times;Serif"/>
          <w:b w:val="false"/>
          <w:i w:val="false"/>
          <w:caps w:val="false"/>
          <w:smallCaps w:val="false"/>
          <w:sz w:val="20"/>
        </w:rPr>
        <w:t> 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9.06 Notation on or Exchange of Securities.</w:t>
      </w:r>
      <w:r>
        <w:rPr>
          <w:rFonts w:ascii="Times New Roman;Times;Serif" w:hAnsi="Times New Roman;Times;Serif"/>
          <w:b w:val="false"/>
          <w:i w:val="false"/>
          <w:caps w:val="false"/>
          <w:smallCaps w:val="false"/>
          <w:sz w:val="20"/>
        </w:rPr>
        <w:t>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9.07 Trustee Protected.</w:t>
      </w:r>
      <w:r>
        <w:rPr>
          <w:rFonts w:ascii="Times New Roman;Times;Serif" w:hAnsi="Times New Roman;Times;Serif"/>
          <w:b w:val="false"/>
          <w:i w:val="false"/>
          <w:caps w:val="false"/>
          <w:smallCaps w:val="false"/>
          <w:sz w:val="20"/>
        </w:rPr>
        <w:t> In executing, or accepting the additional trusts created by, any supplemental indenture permitted by this Article or the modifications thereby of the trusts created by this Indenture, the Trustee shall receive, in addition to the documents required by Section 10.04, and (subject to Section 7.01) shall be fully protected in relying upon, an Opinion of Counsel stating that all conditions precedent in this Indenture to the execution of such supplemental indenture, if any, have been complied with, such supplemental indenture is authorized hereunder, and, that such supplemental indenture is the valid and legally binding obligation of the Company. The Trustee shall sign all supplemental indentures, except that the Trustee need not sign any supplemental indenture that adversely affects its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 Trust Indenture Act Controls.</w:t>
      </w:r>
      <w:r>
        <w:rPr>
          <w:rFonts w:ascii="Times New Roman;Times;Serif" w:hAnsi="Times New Roman;Times;Serif"/>
          <w:b w:val="false"/>
          <w:i w:val="false"/>
          <w:caps w:val="false"/>
          <w:smallCaps w:val="false"/>
          <w:sz w:val="20"/>
        </w:rPr>
        <w:t> 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communication by the Company or the Trustee to the other, or by a Holder to the Company or the Trustee, is duly given if in writing and delivered in person or mailed by first-class mail or sent by telecopier transmission or electronic transmission in PDF addressed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#09-13/14/15/16/17</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Zhi Yong (Jason) Phua, Chief Financial Officer</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Wei Wang, Esq.</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or the Trustee by notice to the other may designate additional or different addresses for subsequent notices or communications. Any notice or communication to a Holder shall be delivered to his address shown on the register kept by the Registrar. Failure to deliver a notice or communication to a Holder of any Series or any defect in it shall not affect its sufficiency with respect to other Holders of that or any other Series. If a notice or communication is delivered in the manner provided above, within the time prescribed, it is duly given, whether or not the Holder receives it. If the Company delivers a notice or communication to Holders, it shall deliver a copy to the Trustee and each Agent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10.03 Communication by Holders with Other Holders.</w:t>
      </w:r>
      <w:r>
        <w:rPr>
          <w:rFonts w:ascii="Times New Roman;Times;Serif" w:hAnsi="Times New Roman;Times;Serif"/>
          <w:b w:val="false"/>
          <w:i w:val="false"/>
          <w:caps w:val="false"/>
          <w:smallCaps w:val="false"/>
          <w:sz w:val="20"/>
        </w:rPr>
        <w:t> Holders of any Series may communicate pursuant to TIA Section 312(b) with other Holders of that Series or any other Series with respect to their rights under this Indenture or the Securities of that Series or all Series. The Company, the Trustee, the Registrar and anyone else shall have the protection of TIA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10.04 Certificate and Opinion as to Conditions Precedent.</w:t>
      </w:r>
      <w:r>
        <w:rPr>
          <w:rFonts w:ascii="Times New Roman;Times;Serif" w:hAnsi="Times New Roman;Times;Serif"/>
          <w:b w:val="false"/>
          <w:i w:val="false"/>
          <w:caps w:val="false"/>
          <w:smallCaps w:val="false"/>
          <w:sz w:val="20"/>
        </w:rPr>
        <w:t> Upon any request or application by the Company to the Trustee to take any action under this Indenture, the Company shall furnish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10.05 Statements Required in Certificate or Opinion.</w:t>
      </w:r>
      <w:r>
        <w:rPr>
          <w:rFonts w:ascii="Times New Roman;Times;Serif" w:hAnsi="Times New Roman;Times;Serif"/>
          <w:b w:val="false"/>
          <w:i w:val="false"/>
          <w:caps w:val="false"/>
          <w:smallCaps w:val="false"/>
          <w:sz w:val="20"/>
        </w:rPr>
        <w:t> Each certificate or opinion with respect to compliance with a condition or covenant provided for in this Indenture (other than a certificate provided pursuant to TIA Section 314(a)(4)) shall comply with the provisions of TIA Section 314(e) and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10.06 Rules by Trustee and Agents.</w:t>
      </w:r>
      <w:r>
        <w:rPr>
          <w:rFonts w:ascii="Times New Roman;Times;Serif" w:hAnsi="Times New Roman;Times;Serif"/>
          <w:b w:val="false"/>
          <w:i w:val="false"/>
          <w:caps w:val="false"/>
          <w:smallCaps w:val="false"/>
          <w:sz w:val="20"/>
        </w:rPr>
        <w:t> The Trustee may make reasonable rules for action by or a meeting of Holders of one or more Series. Any Agent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10.07 Legal Holidays.</w:t>
      </w:r>
      <w:r>
        <w:rPr>
          <w:rFonts w:ascii="Times New Roman;Times;Serif" w:hAnsi="Times New Roman;Times;Serif"/>
          <w:b w:val="false"/>
          <w:i w:val="false"/>
          <w:caps w:val="false"/>
          <w:smallCaps w:val="false"/>
          <w:sz w:val="20"/>
        </w:rPr>
        <w:t> Unless otherwise provided by Board Resolution, Officers’ Certificate or supplemental indenture hereto for a particular Series, a “</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10.08 No Recourse Against Others.</w:t>
      </w:r>
      <w:r>
        <w:rPr>
          <w:rFonts w:ascii="Times New Roman;Times;Serif" w:hAnsi="Times New Roman;Times;Serif"/>
          <w:b w:val="false"/>
          <w:i w:val="false"/>
          <w:caps w:val="false"/>
          <w:smallCaps w:val="false"/>
          <w:sz w:val="20"/>
        </w:rPr>
        <w:t> A director, officer, employee or shareholder,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10.09 Counterparts.</w:t>
      </w:r>
      <w:r>
        <w:rPr>
          <w:rFonts w:ascii="Times New Roman;Times;Serif" w:hAnsi="Times New Roman;Times;Serif"/>
          <w:b w:val="false"/>
          <w:i w:val="false"/>
          <w:caps w:val="false"/>
          <w:smallCaps w:val="false"/>
          <w:sz w:val="20"/>
        </w:rPr>
        <w:t> 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10.10 Governing Laws.</w:t>
      </w:r>
      <w:r>
        <w:rPr>
          <w:rFonts w:ascii="Times New Roman;Times;Serif" w:hAnsi="Times New Roman;Times;Serif"/>
          <w:b w:val="false"/>
          <w:i w:val="false"/>
          <w:caps w:val="false"/>
          <w:smallCaps w:val="false"/>
          <w:sz w:val="20"/>
        </w:rPr>
        <w:t> This Indenture and the Securities will be governed by, and construed in accordance with, the internal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10.11 No Adverse Interpretation of Other Agreements.</w:t>
      </w:r>
      <w:r>
        <w:rPr>
          <w:rFonts w:ascii="Times New Roman;Times;Serif" w:hAnsi="Times New Roman;Times;Serif"/>
          <w:b w:val="false"/>
          <w:i w:val="false"/>
          <w:caps w:val="false"/>
          <w:smallCaps w:val="false"/>
          <w:sz w:val="20"/>
        </w:rPr>
        <w:t> 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10.12 Successors.</w:t>
      </w:r>
      <w:r>
        <w:rPr>
          <w:rFonts w:ascii="Times New Roman;Times;Serif" w:hAnsi="Times New Roman;Times;Serif"/>
          <w:b w:val="false"/>
          <w:i w:val="false"/>
          <w:caps w:val="false"/>
          <w:smallCaps w:val="false"/>
          <w:sz w:val="20"/>
        </w:rPr>
        <w:t> All agreements of the Company in this Indenture and the Securities shall bind its successor. All agreements of the Trustee in this Indenture shall bind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10.13 Severability.</w:t>
      </w:r>
      <w:r>
        <w:rPr>
          <w:rFonts w:ascii="Times New Roman;Times;Serif" w:hAnsi="Times New Roman;Times;Serif"/>
          <w:b w:val="false"/>
          <w:i w:val="false"/>
          <w:caps w:val="false"/>
          <w:smallCaps w:val="false"/>
          <w:sz w:val="20"/>
        </w:rPr>
        <w:t> 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10.14 Table of Contents, Headings, Etc.</w:t>
      </w:r>
      <w:r>
        <w:rPr>
          <w:rFonts w:ascii="Times New Roman;Times;Serif" w:hAnsi="Times New Roman;Times;Serif"/>
          <w:b w:val="false"/>
          <w:i w:val="false"/>
          <w:caps w:val="false"/>
          <w:smallCaps w:val="false"/>
          <w:sz w:val="20"/>
        </w:rPr>
        <w:t> 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10.15 Securities in a Foreign Currency.</w:t>
      </w:r>
      <w:r>
        <w:rPr>
          <w:rFonts w:ascii="Times New Roman;Times;Serif" w:hAnsi="Times New Roman;Times;Serif"/>
          <w:b w:val="false"/>
          <w:i w:val="false"/>
          <w:caps w:val="false"/>
          <w:smallCaps w:val="false"/>
          <w:sz w:val="20"/>
        </w:rPr>
        <w:t> 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Times New Roman;Times;Serif" w:hAnsi="Times New Roman;Times;Serif"/>
          <w:b w:val="false"/>
          <w:i/>
          <w:caps w:val="false"/>
          <w:smallCaps w:val="false"/>
          <w:sz w:val="20"/>
        </w:rPr>
        <w:t>Market Exchange Rate</w:t>
      </w:r>
      <w:r>
        <w:rPr>
          <w:rFonts w:ascii="Times New Roman;Times;Serif" w:hAnsi="Times New Roman;Times;Serif"/>
          <w:b w:val="false"/>
          <w:i w:val="false"/>
          <w:caps w:val="false"/>
          <w:smallCaps w:val="false"/>
          <w:sz w:val="20"/>
        </w:rPr>
        <w:t>” shall mean the noon Dollar buying rate in New York City for cable transfers of that currency as published by the Federal Reserve Bank of New York. If such Market Exchange Rate is not available for any reason with respect to such currency, the Company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Company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the Trustee and all Holders. The Trustee shall have no duty to calculate or verify the calculations made pursuant to this Section 10.15.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10.16 U.S.A. Patriot Act.</w:t>
      </w:r>
      <w:r>
        <w:rPr>
          <w:rFonts w:ascii="Times New Roman;Times;Serif" w:hAnsi="Times New Roman;Times;Serif"/>
          <w:b w:val="false"/>
          <w:i w:val="false"/>
          <w:caps w:val="false"/>
          <w:smallCaps w:val="false"/>
          <w:sz w:val="20"/>
        </w:rPr>
        <w:t> 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10.17 Waiver of Jury Trial.</w:t>
      </w:r>
      <w:r>
        <w:rPr>
          <w:rFonts w:ascii="Times New Roman;Times;Serif" w:hAnsi="Times New Roman;Times;Serif"/>
          <w:b w:val="false"/>
          <w:i w:val="false"/>
          <w:caps w:val="false"/>
          <w:smallCaps w:val="false"/>
          <w:sz w:val="20"/>
        </w:rPr>
        <w:t> EACH OF THE COMPANY AND THE TRUSTEE HEREBY IRREVOCABLY WAIVES, TO THE FULLEST EXTENT PERMITTED BY APPLICABLE LAW, ANY AND ALL RIGHT TO TRIAL BY JURY IN ANY LEGAL PROCEEDING AS BETWEEN THE COMPANY AND THE TRUSTEE ONLY ARISING OUT OF OR RELATING TO THIS INDENTURE OR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SINKING FUNDS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Applicability of Article.</w:t>
      </w:r>
      <w:r>
        <w:rPr>
          <w:rFonts w:ascii="Times New Roman;Times;Serif" w:hAnsi="Times New Roman;Times;Serif"/>
          <w:b w:val="false"/>
          <w:i w:val="false"/>
          <w:caps w:val="false"/>
          <w:smallCaps w:val="false"/>
          <w:sz w:val="20"/>
        </w:rPr>
        <w:t> The provisions of this Article shall be applicable to any sinking fund for the retirement of the Securities of a Series, except as otherwise permitted or required by any form of Security of such Series issued pursuant to this Indenture. The minimum amount of any sinking fund payment provided for by the terms of the Securities of any Series is herein referred to as a “</w:t>
      </w:r>
      <w:r>
        <w:rPr>
          <w:rFonts w:ascii="Times New Roman;Times;Serif" w:hAnsi="Times New Roman;Times;Serif"/>
          <w:b w:val="false"/>
          <w:i/>
          <w:caps w:val="false"/>
          <w:smallCaps w:val="false"/>
          <w:sz w:val="20"/>
        </w:rPr>
        <w:t>mandatory sinking fund payment</w:t>
      </w:r>
      <w:r>
        <w:rPr>
          <w:rFonts w:ascii="Times New Roman;Times;Serif" w:hAnsi="Times New Roman;Times;Serif"/>
          <w:b w:val="false"/>
          <w:i w:val="false"/>
          <w:caps w:val="false"/>
          <w:smallCaps w:val="false"/>
          <w:sz w:val="20"/>
        </w:rPr>
        <w:t>” and any other amount provided for by the terms of Securities of such Series is herein referred to as an “</w:t>
      </w:r>
      <w:r>
        <w:rPr>
          <w:rFonts w:ascii="Times New Roman;Times;Serif" w:hAnsi="Times New Roman;Times;Serif"/>
          <w:b w:val="false"/>
          <w:i/>
          <w:caps w:val="false"/>
          <w:smallCaps w:val="false"/>
          <w:sz w:val="20"/>
        </w:rPr>
        <w:t>optional sinking fund payment</w:t>
      </w:r>
      <w:r>
        <w:rPr>
          <w:rFonts w:ascii="Times New Roman;Times;Serif" w:hAnsi="Times New Roman;Times;Serif"/>
          <w:b w:val="false"/>
          <w:i w:val="false"/>
          <w:caps w:val="false"/>
          <w:smallCaps w:val="false"/>
          <w:sz w:val="20"/>
        </w:rPr>
        <w: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Satisfaction of Sinking Fund Payments with Securities.</w:t>
      </w:r>
      <w:r>
        <w:rPr>
          <w:rFonts w:ascii="Times New Roman;Times;Serif" w:hAnsi="Times New Roman;Times;Serif"/>
          <w:b w:val="false"/>
          <w:i w:val="false"/>
          <w:caps w:val="false"/>
          <w:smallCaps w:val="false"/>
          <w:sz w:val="20"/>
        </w:rPr>
        <w:t> 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Redemption of Securities for Sinking Fund.</w:t>
      </w:r>
      <w:r>
        <w:rPr>
          <w:rFonts w:ascii="Times New Roman;Times;Serif" w:hAnsi="Times New Roman;Times;Serif"/>
          <w:b w:val="false"/>
          <w:i w:val="false"/>
          <w:caps w:val="false"/>
          <w:smallCaps w:val="false"/>
          <w:sz w:val="20"/>
        </w:rPr>
        <w:t> Not less than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and attested, all as of the day and year first above written.</w:t>
      </w:r>
    </w:p>
    <w:p>
      <w:pPr>
        <w:pStyle w:val="TextBody"/>
        <w:bidi w:val="0"/>
        <w:spacing w:before="0" w:after="0"/>
        <w:ind w:left="0" w:right="0" w:firstLine="490"/>
        <w:jc w:val="both"/>
        <w:rPr>
          <w:caps w:val="false"/>
          <w:smallCaps w:val="false"/>
        </w:rPr>
      </w:pPr>
      <w:r>
        <w:rPr>
          <w:caps w:val="false"/>
          <w:smallCaps w:val="false"/>
        </w:rPr>
        <w:t> </w:t>
      </w:r>
    </w:p>
    <w:tbl>
      <w:tblPr>
        <w:tblW w:w="5764" w:type="dxa"/>
        <w:jc w:val="left"/>
        <w:tblInd w:w="0" w:type="dxa"/>
        <w:tblLayout w:type="fixed"/>
        <w:tblCellMar>
          <w:top w:w="0" w:type="dxa"/>
          <w:left w:w="0" w:type="dxa"/>
          <w:bottom w:w="0" w:type="dxa"/>
          <w:right w:w="0" w:type="dxa"/>
        </w:tblCellMar>
      </w:tblPr>
      <w:tblGrid>
        <w:gridCol w:w="75"/>
        <w:gridCol w:w="997"/>
        <w:gridCol w:w="4692"/>
      </w:tblGrid>
      <w:tr>
        <w:trPr/>
        <w:tc>
          <w:tcPr>
            <w:tcW w:w="75" w:type="dxa"/>
            <w:tcBorders/>
            <w:vAlign w:val="center"/>
          </w:tcPr>
          <w:p>
            <w:pPr>
              <w:pStyle w:val="TableContents"/>
              <w:bidi w:val="0"/>
              <w:spacing w:before="0" w:after="283"/>
              <w:jc w:val="left"/>
              <w:rPr/>
            </w:pPr>
            <w:r>
              <w:rPr/>
              <w:t> </w:t>
            </w:r>
          </w:p>
        </w:tc>
        <w:tc>
          <w:tcPr>
            <w:tcW w:w="5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YY GROUP HOLDING LIMITED</w:t>
            </w:r>
            <w:r>
              <w:rPr>
                <w:rFonts w:ascii="Times New Roman;Times;Serif" w:hAnsi="Times New Roman;Times;Serif"/>
                <w:sz w:val="20"/>
              </w:rPr>
              <w:t>, a British Virgin Islands company</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46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9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6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46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92" w:type="dxa"/>
            <w:tcBorders/>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5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46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9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92" w:type="dxa"/>
            <w:tcBorders/>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yyghex5-1.htm"/>
      <w:bookmarkStart w:id="29" w:name="ksyyghex51"/>
      <w:bookmarkEnd w:id="28"/>
      <w:bookmarkEnd w:id="29"/>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2715"/>
        <w:gridCol w:w="60"/>
        <w:gridCol w:w="2630"/>
      </w:tblGrid>
      <w:tr>
        <w:trPr/>
        <w:tc>
          <w:tcPr>
            <w:tcW w:w="2715" w:type="dxa"/>
            <w:tcBorders/>
            <w:vAlign w:val="center"/>
          </w:tcPr>
          <w:p>
            <w:pPr>
              <w:pStyle w:val="TableContents"/>
              <w:bidi w:val="0"/>
              <w:spacing w:before="0" w:after="283"/>
              <w:jc w:val="left"/>
              <w:rPr/>
            </w:pPr>
            <w:r>
              <w:rPr/>
              <w:drawing>
                <wp:inline distT="0" distB="0" distL="0" distR="0">
                  <wp:extent cx="171450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714500" cy="3714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BVI</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5th Floor Waters Edge Building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Wickham’s Cay II</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4857</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 Town, Tortola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+1 284 852 1700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+1 284 852 1799</w:t>
            </w:r>
          </w:p>
        </w:tc>
      </w:tr>
    </w:tbl>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70"/>
        <w:gridCol w:w="75"/>
      </w:tblGrid>
      <w:tr>
        <w:trPr/>
        <w:tc>
          <w:tcPr>
            <w:tcW w:w="22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10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ref: 8079584/258048373/3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the Company’s British Virgin Islands legal advisers in connection with the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which has been filed on or around the date of this opinion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under the US Securities Act of 1933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relates to the Company’s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up to US$100,000,000, consisting of:</w:t>
      </w:r>
    </w:p>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57"/>
        <w:gridCol w:w="9799"/>
      </w:tblGrid>
      <w:tr>
        <w:trPr/>
        <w:tc>
          <w:tcPr>
            <w:tcW w:w="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(a)</w:t>
            </w:r>
          </w:p>
        </w:tc>
        <w:tc>
          <w:tcPr>
            <w:tcW w:w="9799" w:type="dxa"/>
            <w:tcBorders/>
            <w:vAlign w:val="center"/>
          </w:tcPr>
          <w:p>
            <w:pPr>
              <w:pStyle w:val="TableContents"/>
              <w:bidi w:val="0"/>
              <w:spacing w:before="0" w:after="283"/>
              <w:jc w:val="both"/>
              <w:rPr/>
            </w:pPr>
            <w:r>
              <w:rPr/>
              <w:t xml:space="preserve">Class A Ordinary shares of no par value in the Company (the </w:t>
            </w:r>
            <w:r>
              <w:rPr>
                <w:b/>
              </w:rPr>
              <w:t>Class A Shares</w:t>
            </w:r>
            <w:r>
              <w:rPr/>
              <w: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 xml:space="preserve">debt securities of the Company, which may include debt securities exchangeable for or convertible into Class A Shares (the </w:t>
            </w:r>
            <w:r>
              <w:rPr>
                <w:b/>
              </w:rPr>
              <w:t>Debt Securities</w:t>
            </w:r>
            <w:r>
              <w:rPr/>
              <w: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both"/>
              <w:rPr/>
            </w:pPr>
            <w:r>
              <w:rPr/>
              <w:t xml:space="preserve">warrants of the Company to purchase Class A Shares, Debt Securities or any combination of those securities (the </w:t>
            </w:r>
            <w:r>
              <w:rPr>
                <w:b/>
              </w:rPr>
              <w:t>Warrants</w:t>
            </w:r>
            <w:r>
              <w:rPr/>
              <w: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(d)</w:t>
            </w:r>
          </w:p>
        </w:tc>
        <w:tc>
          <w:tcPr>
            <w:tcW w:w="9885" w:type="dxa"/>
            <w:tcBorders/>
            <w:vAlign w:val="center"/>
          </w:tcPr>
          <w:p>
            <w:pPr>
              <w:pStyle w:val="TableContents"/>
              <w:bidi w:val="0"/>
              <w:spacing w:before="0" w:after="283"/>
              <w:jc w:val="both"/>
              <w:rPr/>
            </w:pPr>
            <w:r>
              <w:rPr/>
              <w:t xml:space="preserve">subscription rights to purchase Class A Shares, Debt Securities or other securities (the </w:t>
            </w:r>
            <w:r>
              <w:rPr>
                <w:b/>
              </w:rPr>
              <w:t>Subscription Rights</w:t>
            </w:r>
            <w:r>
              <w:rPr/>
              <w:t>);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283"/>
              <w:jc w:val="both"/>
              <w:rPr/>
            </w:pPr>
            <w:r>
              <w:rPr/>
              <w:t xml:space="preserve">units comprised of one or more of the Class A Shares, Debt Securities, Warrants, Subscription Rights or other securities (the </w:t>
            </w:r>
            <w:r>
              <w:rPr>
                <w:b/>
              </w:rPr>
              <w:t>Units</w:t>
            </w:r>
            <w:r>
              <w:rPr/>
              <w:t xml:space="preserve">, together with the Debt Securities, Warrants and Subscription Rights, the </w:t>
            </w:r>
            <w:r>
              <w:rPr>
                <w:b/>
              </w:rPr>
              <w:t>Non-Equity Securities</w:t>
            </w:r>
            <w:r>
              <w:rPr/>
              <w:t xml:space="preserve">, and collectively with the Class A Shares, and Non-Equity Securities, the </w:t>
            </w:r>
            <w:r>
              <w:rPr>
                <w:b/>
              </w:rPr>
              <w:t>Securities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asked us to provide this opinion in connection with the Registration Statement and the issuance of the Securities.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48"/>
        <w:gridCol w:w="9553"/>
      </w:tblGrid>
      <w:tr>
        <w:trPr/>
        <w:tc>
          <w:tcPr>
            <w:tcW w:w="10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1.</w:t>
            </w:r>
          </w:p>
        </w:tc>
        <w:tc>
          <w:tcPr>
            <w:tcW w:w="9553" w:type="dxa"/>
            <w:tcBorders/>
            <w:vAlign w:val="center"/>
          </w:tcPr>
          <w:p>
            <w:pPr>
              <w:pStyle w:val="TableContents"/>
              <w:bidi w:val="0"/>
              <w:spacing w:before="0" w:after="283"/>
              <w:jc w:val="both"/>
              <w:rPr/>
            </w:pPr>
            <w:r>
              <w:rPr/>
              <w:t>Documents, searches and definitions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50"/>
        <w:gridCol w:w="9814"/>
      </w:tblGrid>
      <w:tr>
        <w:trPr/>
        <w:tc>
          <w:tcPr>
            <w:tcW w:w="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1.1</w:t>
            </w:r>
          </w:p>
        </w:tc>
        <w:tc>
          <w:tcPr>
            <w:tcW w:w="9814" w:type="dxa"/>
            <w:tcBorders/>
            <w:vAlign w:val="center"/>
          </w:tcPr>
          <w:p>
            <w:pPr>
              <w:pStyle w:val="TableContents"/>
              <w:bidi w:val="0"/>
              <w:spacing w:before="0" w:after="283"/>
              <w:jc w:val="both"/>
              <w:rPr/>
            </w:pPr>
            <w:r>
              <w:rPr/>
              <w:t>We have reviewed a copy of each of the following documents for the purposes of this opinion:</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973"/>
        <w:gridCol w:w="9098"/>
      </w:tblGrid>
      <w:tr>
        <w:trPr/>
        <w:tc>
          <w:tcPr>
            <w:tcW w:w="1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spacing w:before="0" w:after="283"/>
              <w:jc w:val="both"/>
              <w:rPr/>
            </w:pPr>
            <w:r>
              <w:rPr/>
              <w:t>the Registration Statement;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 xml:space="preserve">the Company’s certificate(s) of incorporation (the </w:t>
            </w:r>
            <w:r>
              <w:rPr>
                <w:b/>
              </w:rPr>
              <w:t>Certificate of Incorporation</w:t>
            </w:r>
            <w:r>
              <w:rPr/>
              <w:t xml:space="preserve">) and memorandum and articles of association as amended and restated on 10 November 2023 and as further amended and restated on 16 January 2026 (the </w:t>
            </w:r>
            <w:r>
              <w:rPr>
                <w:b/>
              </w:rPr>
              <w:t>M&amp;A</w:t>
            </w:r>
            <w:r>
              <w:rPr/>
              <w:t>) obtained from the Company Search;</w:t>
            </w:r>
          </w:p>
        </w:tc>
      </w:tr>
    </w:tbl>
    <w:p>
      <w:pPr>
        <w:pStyle w:val="TextBody"/>
        <w:bidi w:val="0"/>
        <w:spacing w:before="0" w:after="0"/>
        <w:ind w:left="1530" w:right="0" w:hanging="810"/>
        <w:jc w:val="both"/>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5855"/>
      </w:tblGrid>
      <w:tr>
        <w:trPr/>
        <w:tc>
          <w:tcPr>
            <w:tcW w:w="5855" w:type="dxa"/>
            <w:tcBorders/>
            <w:vAlign w:val="center"/>
          </w:tcPr>
          <w:p>
            <w:pPr>
              <w:pStyle w:val="TableContents"/>
              <w:bidi w:val="0"/>
              <w:spacing w:before="0" w:after="283"/>
              <w:jc w:val="left"/>
              <w:rPr/>
            </w:pPr>
            <w:r>
              <w:rPr/>
              <w:t>Mourant Ozannes, BVI is a British Virgin Islands partnership</w:t>
            </w:r>
          </w:p>
        </w:tc>
      </w:tr>
      <w:tr>
        <w:trPr/>
        <w:tc>
          <w:tcPr>
            <w:tcW w:w="5855" w:type="dxa"/>
            <w:tcBorders>
              <w:top w:val="single" w:sz="8" w:space="0" w:color="000000"/>
            </w:tcBorders>
            <w:tcMar>
              <w:top w:w="28" w:type="dxa"/>
            </w:tcMar>
            <w:vAlign w:val="center"/>
          </w:tcPr>
          <w:p>
            <w:pPr>
              <w:pStyle w:val="TableContents"/>
              <w:bidi w:val="0"/>
              <w:spacing w:before="0" w:after="283"/>
              <w:jc w:val="right"/>
              <w:rPr/>
            </w:pPr>
            <w:r>
              <w:rPr/>
              <w:t>mourant.com</w:t>
            </w:r>
          </w:p>
        </w:tc>
      </w:tr>
    </w:tbl>
    <w:p>
      <w:pPr>
        <w:pStyle w:val="TextBody"/>
        <w:bidi w:val="0"/>
        <w:spacing w:before="0" w:after="0"/>
        <w:ind w:left="1530" w:right="0" w:hanging="81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530" w:right="0" w:hanging="8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 xml:space="preserve">the resolutions in writing of the directors of the Company passed on 10 July 2026 (the </w:t>
            </w:r>
            <w:r>
              <w:rPr>
                <w:b/>
              </w:rPr>
              <w:t>Director Resolutions</w:t>
            </w:r>
            <w:r>
              <w:rPr/>
              <w:t>);</w:t>
            </w:r>
          </w:p>
        </w:tc>
      </w:tr>
    </w:tbl>
    <w:p>
      <w:pPr>
        <w:pStyle w:val="TextBody"/>
        <w:bidi w:val="0"/>
        <w:spacing w:before="0" w:after="283"/>
        <w:jc w:val="left"/>
        <w:rPr/>
      </w:pPr>
      <w:r>
        <w:rPr/>
        <w:t> </w:t>
      </w:r>
    </w:p>
    <w:tbl>
      <w:tblPr>
        <w:tblW w:w="10098" w:type="dxa"/>
        <w:jc w:val="left"/>
        <w:tblInd w:w="0" w:type="dxa"/>
        <w:tblLayout w:type="fixed"/>
        <w:tblCellMar>
          <w:top w:w="0" w:type="dxa"/>
          <w:left w:w="0" w:type="dxa"/>
          <w:bottom w:w="0" w:type="dxa"/>
          <w:right w:w="0" w:type="dxa"/>
        </w:tblCellMar>
      </w:tblPr>
      <w:tblGrid>
        <w:gridCol w:w="38"/>
        <w:gridCol w:w="29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770" w:type="dxa"/>
            <w:tcBorders/>
            <w:vAlign w:val="center"/>
          </w:tcPr>
          <w:p>
            <w:pPr>
              <w:pStyle w:val="TableContents"/>
              <w:bidi w:val="0"/>
              <w:spacing w:before="0" w:after="283"/>
              <w:jc w:val="both"/>
              <w:rPr/>
            </w:pPr>
            <w:r>
              <w:rPr/>
              <w:t xml:space="preserve">a certificate of the Company's registered agent dated 9 July 2026 (the </w:t>
            </w:r>
            <w:r>
              <w:rPr>
                <w:b/>
              </w:rPr>
              <w:t>Registered Agent's Certificate</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283"/>
              <w:jc w:val="both"/>
              <w:rPr/>
            </w:pPr>
            <w:r>
              <w:rPr/>
              <w:t xml:space="preserve">a copy of the Company's register of directors (the </w:t>
            </w:r>
            <w:r>
              <w:rPr>
                <w:b/>
              </w:rPr>
              <w:t>Register of Directors</w:t>
            </w:r>
            <w:r>
              <w:rPr/>
              <w:t>) which was affixed to the Registered Agent's Certificate;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(f)</w:t>
            </w:r>
          </w:p>
        </w:tc>
        <w:tc>
          <w:tcPr>
            <w:tcW w:w="9941" w:type="dxa"/>
            <w:tcBorders/>
            <w:vAlign w:val="center"/>
          </w:tcPr>
          <w:p>
            <w:pPr>
              <w:pStyle w:val="TableContents"/>
              <w:bidi w:val="0"/>
              <w:spacing w:before="0" w:after="283"/>
              <w:jc w:val="both"/>
              <w:rPr/>
            </w:pPr>
            <w:r>
              <w:rPr/>
              <w:t xml:space="preserve">a copy of the Company's shareholder list dated 8 July 2026 (the </w:t>
            </w:r>
            <w:r>
              <w:rPr>
                <w:b/>
              </w:rPr>
              <w:t>Register of Members</w:t>
            </w:r>
            <w:r>
              <w:rPr/>
              <w:t>) provided by the Company's transfer agent;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(g)</w:t>
            </w:r>
          </w:p>
        </w:tc>
        <w:tc>
          <w:tcPr>
            <w:tcW w:w="9892" w:type="dxa"/>
            <w:tcBorders/>
            <w:vAlign w:val="center"/>
          </w:tcPr>
          <w:p>
            <w:pPr>
              <w:pStyle w:val="TableContents"/>
              <w:bidi w:val="0"/>
              <w:spacing w:before="0" w:after="283"/>
              <w:jc w:val="both"/>
              <w:rPr/>
            </w:pPr>
            <w:r>
              <w:rPr/>
              <w:t xml:space="preserve">a certificate of good standing for the Company dated 10 July 2026 issued by the Registrar (the </w:t>
            </w:r>
            <w:r>
              <w:rPr>
                <w:b/>
              </w:rPr>
              <w:t>Certificate of Good Standing</w:t>
            </w:r>
            <w:r>
              <w:rPr/>
              <w: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46"/>
        <w:gridCol w:w="9819"/>
      </w:tblGrid>
      <w:tr>
        <w:trPr/>
        <w:tc>
          <w:tcPr>
            <w:tcW w:w="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1.2</w:t>
            </w:r>
          </w:p>
        </w:tc>
        <w:tc>
          <w:tcPr>
            <w:tcW w:w="9819" w:type="dxa"/>
            <w:tcBorders/>
            <w:vAlign w:val="center"/>
          </w:tcPr>
          <w:p>
            <w:pPr>
              <w:pStyle w:val="TableContents"/>
              <w:bidi w:val="0"/>
              <w:spacing w:before="0" w:after="283"/>
              <w:jc w:val="both"/>
              <w:rPr/>
            </w:pPr>
            <w:r>
              <w:rPr/>
              <w:t xml:space="preserve">We have carried out the following searches (together, the </w:t>
            </w:r>
            <w:r>
              <w:rPr>
                <w:b/>
              </w:rPr>
              <w:t>Searches</w:t>
            </w:r>
            <w:r>
              <w:rPr/>
              <w:t>) in relation to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 xml:space="preserve">a search of the records maintained by the Registrar that were on file and available for public inspection at 9:00am on 10 July 2026 (the </w:t>
            </w:r>
            <w:r>
              <w:rPr>
                <w:b/>
              </w:rPr>
              <w:t>Company Search</w:t>
            </w:r>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 xml:space="preserve">a search of the records of proceedings in the BVI Courts available for public inspection contained in the judicial enforcement management system (the electronic register of proceedings) maintained at the registry of the High Court of Justice of the Virgin Islands (the </w:t>
            </w:r>
            <w:r>
              <w:rPr>
                <w:b/>
              </w:rPr>
              <w:t>High Court</w:t>
            </w:r>
            <w:r>
              <w:rPr/>
              <w:t xml:space="preserve">) at 9:00am on 10 July 2026 (the </w:t>
            </w:r>
            <w:r>
              <w:rPr>
                <w:b/>
              </w:rPr>
              <w:t>High Court Search</w:t>
            </w: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3"/>
        <w:gridCol w:w="1796"/>
        <w:gridCol w:w="8196"/>
      </w:tblGrid>
      <w:tr>
        <w:trPr/>
        <w:tc>
          <w:tcPr>
            <w:tcW w:w="21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pPr>
            <w:r>
              <w:rPr/>
              <w:t>1.3</w:t>
            </w:r>
          </w:p>
        </w:tc>
        <w:tc>
          <w:tcPr>
            <w:tcW w:w="8196" w:type="dxa"/>
            <w:tcBorders/>
            <w:vAlign w:val="center"/>
          </w:tcPr>
          <w:p>
            <w:pPr>
              <w:pStyle w:val="TableContents"/>
              <w:bidi w:val="0"/>
              <w:spacing w:before="0" w:after="283"/>
              <w:jc w:val="both"/>
              <w:rPr/>
            </w:pPr>
            <w:r>
              <w:rPr/>
              <w:t>In this opinion:</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63"/>
        <w:gridCol w:w="9678"/>
      </w:tblGrid>
      <w:tr>
        <w:trPr/>
        <w:tc>
          <w:tcPr>
            <w:tcW w:w="6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(a)</w:t>
            </w:r>
          </w:p>
        </w:tc>
        <w:tc>
          <w:tcPr>
            <w:tcW w:w="9678" w:type="dxa"/>
            <w:tcBorders/>
            <w:vAlign w:val="center"/>
          </w:tcPr>
          <w:p>
            <w:pPr>
              <w:pStyle w:val="TableContents"/>
              <w:bidi w:val="0"/>
              <w:spacing w:before="0" w:after="283"/>
              <w:jc w:val="both"/>
              <w:rPr/>
            </w:pPr>
            <w:r>
              <w:rPr>
                <w:b/>
              </w:rPr>
              <w:t>agreement</w:t>
            </w:r>
            <w:r>
              <w:rPr/>
              <w:t xml:space="preserve"> includes an agreement, deed or other instrument;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52"/>
        <w:gridCol w:w="9581"/>
      </w:tblGrid>
      <w:tr>
        <w:trPr/>
        <w:tc>
          <w:tcPr>
            <w:tcW w:w="7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pPr>
            <w:r>
              <w:rPr/>
              <w:t>(b)</w:t>
            </w:r>
          </w:p>
        </w:tc>
        <w:tc>
          <w:tcPr>
            <w:tcW w:w="9581" w:type="dxa"/>
            <w:tcBorders/>
            <w:vAlign w:val="center"/>
          </w:tcPr>
          <w:p>
            <w:pPr>
              <w:pStyle w:val="TableContents"/>
              <w:bidi w:val="0"/>
              <w:spacing w:before="0" w:after="283"/>
              <w:jc w:val="both"/>
              <w:rPr/>
            </w:pPr>
            <w:r>
              <w:rPr>
                <w:b/>
              </w:rPr>
              <w:t>BVI</w:t>
            </w:r>
            <w:r>
              <w:rPr/>
              <w:t xml:space="preserve"> means the territory of the British Virgin Islands;</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b/>
              </w:rPr>
              <w:t>BVI Courts</w:t>
            </w:r>
            <w:r>
              <w:rPr/>
              <w:t xml:space="preserve"> means the Eastern Caribbean Supreme Court, Court of Appeal (Virgin Islands) and the High Court (Civil and Commercial Divisions), and </w:t>
            </w:r>
            <w:r>
              <w:rPr>
                <w:b/>
              </w:rPr>
              <w:t>BVI Court</w:t>
            </w:r>
            <w:r>
              <w:rPr/>
              <w:t xml:space="preserve"> means any of them;</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5"/>
        <w:gridCol w:w="9849"/>
      </w:tblGrid>
      <w:tr>
        <w:trPr/>
        <w:tc>
          <w:tcPr>
            <w:tcW w:w="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(d)</w:t>
            </w:r>
          </w:p>
        </w:tc>
        <w:tc>
          <w:tcPr>
            <w:tcW w:w="9849" w:type="dxa"/>
            <w:tcBorders/>
            <w:vAlign w:val="center"/>
          </w:tcPr>
          <w:p>
            <w:pPr>
              <w:pStyle w:val="TableContents"/>
              <w:bidi w:val="0"/>
              <w:spacing w:before="0" w:after="283"/>
              <w:jc w:val="both"/>
              <w:rPr/>
            </w:pPr>
            <w:r>
              <w:rPr>
                <w:b/>
              </w:rPr>
              <w:t>Companies Act</w:t>
            </w:r>
            <w:r>
              <w:rPr/>
              <w:t xml:space="preserve"> means the BVI Business Companies Act, Revised Edition 2020 (as amended);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(e)</w:t>
            </w:r>
          </w:p>
        </w:tc>
        <w:tc>
          <w:tcPr>
            <w:tcW w:w="9931" w:type="dxa"/>
            <w:tcBorders/>
            <w:vAlign w:val="center"/>
          </w:tcPr>
          <w:p>
            <w:pPr>
              <w:pStyle w:val="TableContents"/>
              <w:bidi w:val="0"/>
              <w:spacing w:before="0" w:after="283"/>
              <w:jc w:val="both"/>
              <w:rPr/>
            </w:pPr>
            <w:r>
              <w:rPr>
                <w:b/>
              </w:rPr>
              <w:t>Company Records</w:t>
            </w:r>
            <w:r>
              <w:rPr/>
              <w:t xml:space="preserve"> means the Certificate of Incorporation, the M&amp;A, the Register of Directors, the Register of Members, the Certificate of Good Standing and the Registered Agent’s Certificate;</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283"/>
              <w:jc w:val="both"/>
              <w:rPr/>
            </w:pPr>
            <w:r>
              <w:rPr>
                <w:b/>
              </w:rPr>
              <w:t>executed</w:t>
            </w:r>
            <w:r>
              <w:rPr/>
              <w:t xml:space="preserve"> and its other grammatical forms mean (unless the context requires otherwise) that a document has been signed, dated and unconditionally delivered;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4"/>
        <w:gridCol w:w="9783"/>
      </w:tblGrid>
      <w:tr>
        <w:trPr/>
        <w:tc>
          <w:tcPr>
            <w:tcW w:w="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(g)</w:t>
            </w:r>
          </w:p>
        </w:tc>
        <w:tc>
          <w:tcPr>
            <w:tcW w:w="9783" w:type="dxa"/>
            <w:tcBorders/>
            <w:vAlign w:val="center"/>
          </w:tcPr>
          <w:p>
            <w:pPr>
              <w:pStyle w:val="TableContents"/>
              <w:bidi w:val="0"/>
              <w:spacing w:before="0" w:after="283"/>
              <w:jc w:val="both"/>
              <w:rPr/>
            </w:pPr>
            <w:r>
              <w:rPr>
                <w:b/>
              </w:rPr>
              <w:t>Insolvency Act</w:t>
            </w:r>
            <w:r>
              <w:rPr/>
              <w:t xml:space="preserve"> means the Insolvency Act, Revised Edition 2020 (as amended);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30"/>
        <w:gridCol w:w="9606"/>
      </w:tblGrid>
      <w:tr>
        <w:trPr/>
        <w:tc>
          <w:tcPr>
            <w:tcW w:w="6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(h)</w:t>
            </w:r>
          </w:p>
        </w:tc>
        <w:tc>
          <w:tcPr>
            <w:tcW w:w="9606" w:type="dxa"/>
            <w:tcBorders/>
            <w:vAlign w:val="center"/>
          </w:tcPr>
          <w:p>
            <w:pPr>
              <w:pStyle w:val="TableContents"/>
              <w:bidi w:val="0"/>
              <w:spacing w:before="0" w:after="283"/>
              <w:jc w:val="both"/>
              <w:rPr/>
            </w:pPr>
            <w:r>
              <w:rPr>
                <w:b/>
              </w:rPr>
              <w:t xml:space="preserve">insolvent </w:t>
            </w:r>
            <w:r>
              <w:rPr/>
              <w:t>has the meaning given in the Insolvency Act;</w:t>
            </w:r>
          </w:p>
        </w:tc>
      </w:tr>
    </w:tbl>
    <w:p>
      <w:pPr>
        <w:pStyle w:val="TextBody"/>
        <w:bidi w:val="0"/>
        <w:spacing w:before="0" w:after="0"/>
        <w:ind w:left="1530" w:right="0" w:hanging="8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pPr>
            <w:r>
              <w:rPr>
                <w:b/>
              </w:rPr>
              <w:t xml:space="preserve">non-assessable </w:t>
            </w:r>
            <w:r>
              <w:rPr/>
              <w:t>means, in relation to a Class A Share, that the purchase price for which the Company agreed to issue that Class A Share has been paid in full to the Company and that no further sum is payable to the Company in respect of that Class A Share;</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03"/>
        <w:gridCol w:w="9853"/>
      </w:tblGrid>
      <w:tr>
        <w:trPr/>
        <w:tc>
          <w:tcPr>
            <w:tcW w:w="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(j)</w:t>
            </w:r>
          </w:p>
        </w:tc>
        <w:tc>
          <w:tcPr>
            <w:tcW w:w="9853" w:type="dxa"/>
            <w:tcBorders/>
            <w:vAlign w:val="center"/>
          </w:tcPr>
          <w:p>
            <w:pPr>
              <w:pStyle w:val="TableContents"/>
              <w:bidi w:val="0"/>
              <w:spacing w:before="0" w:after="283"/>
              <w:jc w:val="both"/>
              <w:rPr/>
            </w:pPr>
            <w:r>
              <w:rPr>
                <w:b/>
              </w:rPr>
              <w:t>Prospectus</w:t>
            </w:r>
            <w:r>
              <w:rPr/>
              <w:t xml:space="preserve"> means the prospectus that forms part of the Registration Statement;</w:t>
            </w:r>
          </w:p>
        </w:tc>
      </w:tr>
    </w:tbl>
    <w:p>
      <w:pPr>
        <w:pStyle w:val="TextBody"/>
        <w:bidi w:val="0"/>
        <w:spacing w:before="0" w:after="0"/>
        <w:ind w:left="1530" w:right="0" w:hanging="81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5315"/>
      </w:tblGrid>
      <w:tr>
        <w:trPr/>
        <w:tc>
          <w:tcPr>
            <w:tcW w:w="5315" w:type="dxa"/>
            <w:tcBorders/>
            <w:vAlign w:val="center"/>
          </w:tcPr>
          <w:p>
            <w:pPr>
              <w:pStyle w:val="TableContents"/>
              <w:bidi w:val="0"/>
              <w:spacing w:before="0" w:after="283"/>
              <w:jc w:val="left"/>
              <w:rPr/>
            </w:pPr>
            <w:r>
              <w:rPr/>
              <w:t>Mourant Ozannes is a British Virgin Islands partnership</w:t>
            </w:r>
          </w:p>
        </w:tc>
      </w:tr>
      <w:tr>
        <w:trPr/>
        <w:tc>
          <w:tcPr>
            <w:tcW w:w="5315" w:type="dxa"/>
            <w:tcBorders>
              <w:top w:val="single" w:sz="8" w:space="0" w:color="000000"/>
            </w:tcBorders>
            <w:tcMar>
              <w:top w:w="28" w:type="dxa"/>
            </w:tcMar>
            <w:vAlign w:val="center"/>
          </w:tcPr>
          <w:p>
            <w:pPr>
              <w:pStyle w:val="TableContents"/>
              <w:bidi w:val="0"/>
              <w:spacing w:before="0" w:after="283"/>
              <w:jc w:val="right"/>
              <w:rPr/>
            </w:pPr>
            <w:r>
              <w:rPr/>
              <w:t>mourant.com</w:t>
            </w:r>
          </w:p>
        </w:tc>
      </w:tr>
    </w:tbl>
    <w:p>
      <w:pPr>
        <w:pStyle w:val="TextBody"/>
        <w:bidi w:val="0"/>
        <w:spacing w:before="0" w:after="0"/>
        <w:ind w:left="1530" w:right="0" w:hanging="810"/>
        <w:jc w:val="both"/>
        <w:rPr>
          <w:caps w:val="false"/>
          <w:smallCaps w:val="false"/>
        </w:rPr>
      </w:pPr>
      <w:r>
        <w:rPr>
          <w:caps w:val="false"/>
          <w:smallCaps w:val="false"/>
        </w:rPr>
        <w:t> </w:t>
      </w:r>
    </w:p>
    <w:p>
      <w:pPr>
        <w:pStyle w:val="TextBody"/>
        <w:bidi w:val="0"/>
        <w:spacing w:before="0" w:after="0"/>
        <w:ind w:left="1530" w:right="0" w:hanging="81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38"/>
        <w:gridCol w:w="9823"/>
      </w:tblGrid>
      <w:tr>
        <w:trPr/>
        <w:tc>
          <w:tcPr>
            <w:tcW w:w="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(k)</w:t>
            </w:r>
          </w:p>
        </w:tc>
        <w:tc>
          <w:tcPr>
            <w:tcW w:w="9823" w:type="dxa"/>
            <w:tcBorders/>
            <w:vAlign w:val="center"/>
          </w:tcPr>
          <w:p>
            <w:pPr>
              <w:pStyle w:val="TableContents"/>
              <w:bidi w:val="0"/>
              <w:spacing w:before="0" w:after="283"/>
              <w:jc w:val="both"/>
              <w:rPr/>
            </w:pPr>
            <w:r>
              <w:rPr>
                <w:b/>
              </w:rPr>
              <w:t>Registrar</w:t>
            </w:r>
            <w:r>
              <w:rPr/>
              <w:t xml:space="preserve"> means the Registrar of Corporate Affairs appointed under the Companies Act;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(l)</w:t>
            </w:r>
          </w:p>
        </w:tc>
        <w:tc>
          <w:tcPr>
            <w:tcW w:w="9976" w:type="dxa"/>
            <w:tcBorders/>
            <w:vAlign w:val="center"/>
          </w:tcPr>
          <w:p>
            <w:pPr>
              <w:pStyle w:val="TableContents"/>
              <w:bidi w:val="0"/>
              <w:spacing w:before="0" w:after="283"/>
              <w:jc w:val="both"/>
              <w:rPr/>
            </w:pPr>
            <w:r>
              <w:rPr>
                <w:b/>
              </w:rPr>
              <w:t>Securities Document</w:t>
            </w:r>
            <w:r>
              <w:rPr/>
              <w:t xml:space="preserve"> means any purchase, underwriting, indenture, warrant, subscription rights, unit or similar agreement entered into by the Company relating to the issuance and sale of Securities;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68"/>
        <w:gridCol w:w="9576"/>
      </w:tblGrid>
      <w:tr>
        <w:trPr/>
        <w:tc>
          <w:tcPr>
            <w:tcW w:w="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(m)</w:t>
            </w:r>
          </w:p>
        </w:tc>
        <w:tc>
          <w:tcPr>
            <w:tcW w:w="9576" w:type="dxa"/>
            <w:tcBorders/>
            <w:vAlign w:val="center"/>
          </w:tcPr>
          <w:p>
            <w:pPr>
              <w:pStyle w:val="TableContents"/>
              <w:bidi w:val="0"/>
              <w:spacing w:before="0" w:after="283"/>
              <w:jc w:val="both"/>
              <w:rPr/>
            </w:pPr>
            <w:r>
              <w:rPr>
                <w:b/>
              </w:rPr>
              <w:t>signed</w:t>
            </w:r>
            <w:r>
              <w:rPr/>
              <w:t xml:space="preserve"> means that a document has been duly signed or sealed.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358"/>
        <w:gridCol w:w="8590"/>
      </w:tblGrid>
      <w:tr>
        <w:trPr/>
        <w:tc>
          <w:tcPr>
            <w:tcW w:w="2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pPr>
            <w:r>
              <w:rPr/>
              <w:t>2.</w:t>
            </w:r>
          </w:p>
        </w:tc>
        <w:tc>
          <w:tcPr>
            <w:tcW w:w="8590" w:type="dxa"/>
            <w:tcBorders/>
            <w:vAlign w:val="center"/>
          </w:tcPr>
          <w:p>
            <w:pPr>
              <w:pStyle w:val="TableContents"/>
              <w:bidi w:val="0"/>
              <w:spacing w:before="0" w:after="283"/>
              <w:jc w:val="both"/>
              <w:rPr/>
            </w:pPr>
            <w:r>
              <w:rPr/>
              <w:t>Assumptions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have not independently verified) that: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954"/>
        <w:gridCol w:w="9138"/>
      </w:tblGrid>
      <w:tr>
        <w:trPr/>
        <w:tc>
          <w:tcPr>
            <w:tcW w:w="11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pPr>
            <w:r>
              <w:rPr/>
              <w:t>2.1</w:t>
            </w:r>
          </w:p>
        </w:tc>
        <w:tc>
          <w:tcPr>
            <w:tcW w:w="9138" w:type="dxa"/>
            <w:tcBorders/>
            <w:vAlign w:val="center"/>
          </w:tcPr>
          <w:p>
            <w:pPr>
              <w:pStyle w:val="TableContents"/>
              <w:bidi w:val="0"/>
              <w:spacing w:before="0" w:after="283"/>
              <w:jc w:val="both"/>
              <w:rPr/>
            </w:pPr>
            <w:r>
              <w:rPr/>
              <w:t>each document examined by us:</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whether it is an original or copy, is (along with any date, signature, initial, stamp or seal on it) genuine and complete, up-to-date and (where applicable) in full force and effect;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was (where it was executed after we reviewed it) executed in materially the same form as the last draft of that document examined by us;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in approving the issuance of the Securities in accordance with the Registration Statement and each applicable Securities Document, each director of the Company:</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acted or will act honestly, in good faith and in what the director believed or believes to be the best interests of the Company;</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51"/>
        <w:gridCol w:w="9809"/>
      </w:tblGrid>
      <w:tr>
        <w:trPr/>
        <w:tc>
          <w:tcPr>
            <w:tcW w:w="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(b)</w:t>
            </w:r>
          </w:p>
        </w:tc>
        <w:tc>
          <w:tcPr>
            <w:tcW w:w="9809" w:type="dxa"/>
            <w:tcBorders/>
            <w:vAlign w:val="center"/>
          </w:tcPr>
          <w:p>
            <w:pPr>
              <w:pStyle w:val="TableContents"/>
              <w:bidi w:val="0"/>
              <w:spacing w:before="0" w:after="283"/>
              <w:jc w:val="both"/>
              <w:rPr/>
            </w:pPr>
            <w:r>
              <w:rPr/>
              <w:t>exercised or will exercise the director’s powers as a director for a proper purpose;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both"/>
              <w:rPr/>
            </w:pPr>
            <w:r>
              <w:rPr/>
              <w:t>exercised or will exercise the care, diligence and skill that a reasonable director would exercise in the same circumstances;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each director of the Company (and any alternate director) has disclosed or will disclose to each other director any interest of that director (or alternate director) in the transactions contemplated by the Registration Statement and each applicable Securities Document, in accordance with the M&amp;A and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Director Resolutions were duly passed, are in full force and effect and have not been amended, revoked or superseded and all necessary corporate action will be taken to authorise and approve any issuance of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65"/>
        <w:gridCol w:w="9685"/>
      </w:tblGrid>
      <w:tr>
        <w:trPr/>
        <w:tc>
          <w:tcPr>
            <w:tcW w:w="5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2.5</w:t>
            </w:r>
          </w:p>
        </w:tc>
        <w:tc>
          <w:tcPr>
            <w:tcW w:w="9685" w:type="dxa"/>
            <w:tcBorders/>
            <w:vAlign w:val="center"/>
          </w:tcPr>
          <w:p>
            <w:pPr>
              <w:pStyle w:val="TableContents"/>
              <w:bidi w:val="0"/>
              <w:spacing w:before="0" w:after="283"/>
              <w:jc w:val="both"/>
              <w:rPr/>
            </w:pPr>
            <w:r>
              <w:rPr/>
              <w:t>each document examined by us that has been signed by the Company:</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99"/>
        <w:gridCol w:w="9751"/>
      </w:tblGrid>
      <w:tr>
        <w:trPr/>
        <w:tc>
          <w:tcPr>
            <w:tcW w:w="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(a)</w:t>
            </w:r>
          </w:p>
        </w:tc>
        <w:tc>
          <w:tcPr>
            <w:tcW w:w="9751" w:type="dxa"/>
            <w:tcBorders/>
            <w:vAlign w:val="center"/>
          </w:tcPr>
          <w:p>
            <w:pPr>
              <w:pStyle w:val="TableContents"/>
              <w:bidi w:val="0"/>
              <w:spacing w:before="0" w:after="283"/>
              <w:jc w:val="both"/>
              <w:rPr/>
            </w:pPr>
            <w:r>
              <w:rPr/>
              <w:t>has been signed by the person(s) authorised by the Company to sign it;</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(where any signatory is a body corporate) it has been signed in accordance with that body corporate’s constitution and then current signing authorities;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45"/>
        <w:gridCol w:w="9699"/>
      </w:tblGrid>
      <w:tr>
        <w:trPr/>
        <w:tc>
          <w:tcPr>
            <w:tcW w:w="6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(c)</w:t>
            </w:r>
          </w:p>
        </w:tc>
        <w:tc>
          <w:tcPr>
            <w:tcW w:w="9699" w:type="dxa"/>
            <w:tcBorders/>
            <w:vAlign w:val="center"/>
          </w:tcPr>
          <w:p>
            <w:pPr>
              <w:pStyle w:val="TableContents"/>
              <w:bidi w:val="0"/>
              <w:spacing w:before="0" w:after="283"/>
              <w:jc w:val="both"/>
              <w:rPr/>
            </w:pPr>
            <w:r>
              <w:rPr/>
              <w:t>has been dated and unconditionally delivered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each party (other than, as a matter of the laws of the BVI, the Company where it is a party) to each Securities Document entered (or to be entered) into relating to the issuance of Securities has (or will have):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080"/>
        <w:gridCol w:w="8976"/>
      </w:tblGrid>
      <w:tr>
        <w:trPr/>
        <w:tc>
          <w:tcPr>
            <w:tcW w:w="14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spacing w:before="0" w:after="283"/>
              <w:jc w:val="both"/>
              <w:rPr/>
            </w:pPr>
            <w:r>
              <w:rPr/>
              <w:t>the capacity and power;</w:t>
            </w:r>
          </w:p>
        </w:tc>
      </w:tr>
    </w:tbl>
    <w:p>
      <w:pPr>
        <w:pStyle w:val="TextBody"/>
        <w:bidi w:val="0"/>
        <w:spacing w:before="0" w:after="0"/>
        <w:ind w:left="1440" w:right="0" w:hanging="72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5315"/>
      </w:tblGrid>
      <w:tr>
        <w:trPr/>
        <w:tc>
          <w:tcPr>
            <w:tcW w:w="5315" w:type="dxa"/>
            <w:tcBorders/>
            <w:vAlign w:val="center"/>
          </w:tcPr>
          <w:p>
            <w:pPr>
              <w:pStyle w:val="TableContents"/>
              <w:bidi w:val="0"/>
              <w:spacing w:before="0" w:after="283"/>
              <w:jc w:val="left"/>
              <w:rPr/>
            </w:pPr>
            <w:r>
              <w:rPr/>
              <w:t>Mourant Ozannes is a British Virgin Islands partnership</w:t>
            </w:r>
          </w:p>
        </w:tc>
      </w:tr>
      <w:tr>
        <w:trPr/>
        <w:tc>
          <w:tcPr>
            <w:tcW w:w="5315" w:type="dxa"/>
            <w:tcBorders>
              <w:top w:val="single" w:sz="8" w:space="0" w:color="000000"/>
            </w:tcBorders>
            <w:tcMar>
              <w:top w:w="28" w:type="dxa"/>
            </w:tcMar>
            <w:vAlign w:val="center"/>
          </w:tcPr>
          <w:p>
            <w:pPr>
              <w:pStyle w:val="TableContents"/>
              <w:bidi w:val="0"/>
              <w:spacing w:before="0" w:after="283"/>
              <w:jc w:val="right"/>
              <w:rPr/>
            </w:pPr>
            <w:r>
              <w:rPr/>
              <w:t>mourant.com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79"/>
        <w:gridCol w:w="9437"/>
      </w:tblGrid>
      <w:tr>
        <w:trPr/>
        <w:tc>
          <w:tcPr>
            <w:tcW w:w="8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pPr>
            <w:r>
              <w:rPr/>
              <w:t>(b)</w:t>
            </w:r>
          </w:p>
        </w:tc>
        <w:tc>
          <w:tcPr>
            <w:tcW w:w="9437" w:type="dxa"/>
            <w:tcBorders/>
            <w:vAlign w:val="center"/>
          </w:tcPr>
          <w:p>
            <w:pPr>
              <w:pStyle w:val="TableContents"/>
              <w:bidi w:val="0"/>
              <w:spacing w:before="0" w:after="283"/>
              <w:jc w:val="both"/>
              <w:rPr/>
            </w:pPr>
            <w:r>
              <w:rPr/>
              <w:t>taken or will take all necessary action;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obtained or made (or will obtain and will make) all necessary agreements, approvals, authorisations, consents, filings, licences, registrations and qualifications (whether as a matter of any law or regulation applicable to it or as a matter of any agreement binding upon 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and perform its obligations under, that Securities Document;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283"/>
              <w:jc w:val="both"/>
              <w:rPr/>
            </w:pPr>
            <w:r>
              <w:rPr/>
              <w:t>the Registration Statement has been duly authorised and approved by the Company and the factual representations made in the Registration Statement and other documents reviewed by us are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8" w:type="dxa"/>
            <w:tcBorders/>
            <w:vAlign w:val="center"/>
          </w:tcPr>
          <w:p>
            <w:pPr>
              <w:pStyle w:val="TableContents"/>
              <w:bidi w:val="0"/>
              <w:spacing w:before="0" w:after="283"/>
              <w:jc w:val="both"/>
              <w:rPr/>
            </w:pPr>
            <w:r>
              <w:rPr/>
              <w:t>each applicable Securities Document relating to the issuance of any Securities has been or will be duly authorised and executed by each party (other than, as a matter of the laws of the BVI, the Company where it is a party) to 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there are no documents or arrangements to which the Company is party (or will become party to) or resolutions of the Company’s directors or shareholders that conflict with, or would be breached by or which prohibit the Company’s entry into, or performance of its obligations under, the Registration Statement or the issuance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2.10</w:t>
            </w:r>
          </w:p>
        </w:tc>
        <w:tc>
          <w:tcPr>
            <w:tcW w:w="9728" w:type="dxa"/>
            <w:tcBorders/>
            <w:vAlign w:val="center"/>
          </w:tcPr>
          <w:p>
            <w:pPr>
              <w:pStyle w:val="TableContents"/>
              <w:bidi w:val="0"/>
              <w:spacing w:before="0" w:after="283"/>
              <w:jc w:val="both"/>
              <w:rPr/>
            </w:pPr>
            <w:r>
              <w:rPr/>
              <w:t>the Company has executed, or will execute each document and has done, or will do, each other act and thing, that it is required to execute or do under the Registration Statement or each applicable Securities Document in connection with the issuance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the Securities will be authorised, issued and delivered in accordance with (and the terms of the issuance and sale of those Securities will be duly established in conformity with) the Director Resolutions, all applicable laws, the M&amp;A, the Registration Statement and each applicable Securities Document;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8" w:type="dxa"/>
            <w:tcBorders/>
            <w:vAlign w:val="center"/>
          </w:tcPr>
          <w:p>
            <w:pPr>
              <w:pStyle w:val="TableContents"/>
              <w:bidi w:val="0"/>
              <w:spacing w:before="0" w:after="283"/>
              <w:jc w:val="both"/>
              <w:rPr/>
            </w:pPr>
            <w:r>
              <w:rPr/>
              <w:t>the Company will receive the consideration provided for in the applicable Securities Document relating to the issuance of any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2.13</w:t>
            </w:r>
          </w:p>
        </w:tc>
        <w:tc>
          <w:tcPr>
            <w:tcW w:w="9728" w:type="dxa"/>
            <w:tcBorders/>
            <w:vAlign w:val="center"/>
          </w:tcPr>
          <w:p>
            <w:pPr>
              <w:pStyle w:val="TableContents"/>
              <w:bidi w:val="0"/>
              <w:spacing w:before="0" w:after="283"/>
              <w:jc w:val="both"/>
              <w:rPr/>
            </w:pPr>
            <w:r>
              <w:rPr/>
              <w:t>each Securities Document is (or will be) in full force and effective, legal, binding and enforceable under all applicable laws at the time that the relevant Securities are issued;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2.14</w:t>
            </w:r>
          </w:p>
        </w:tc>
        <w:tc>
          <w:tcPr>
            <w:tcW w:w="9728" w:type="dxa"/>
            <w:tcBorders/>
            <w:vAlign w:val="center"/>
          </w:tcPr>
          <w:p>
            <w:pPr>
              <w:pStyle w:val="TableContents"/>
              <w:bidi w:val="0"/>
              <w:spacing w:before="0" w:after="283"/>
              <w:jc w:val="both"/>
              <w:rPr/>
            </w:pPr>
            <w:r>
              <w:rPr/>
              <w:t>the Company was not insolvent and will not become insolvent as a result of executing, or performing its obligations under, any document relating to the issuance of any Securities (including the Registration Statement) or each applicable Securities Document, and at the time the Company issues the Securities (or any of them), no steps will have been taken, or resolutions passed, to appoint a liquidator of the Company or a receiver in respect of the Company or any of its assets;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2.15</w:t>
            </w:r>
          </w:p>
        </w:tc>
        <w:tc>
          <w:tcPr>
            <w:tcW w:w="9728" w:type="dxa"/>
            <w:tcBorders/>
            <w:vAlign w:val="center"/>
          </w:tcPr>
          <w:p>
            <w:pPr>
              <w:pStyle w:val="TableContents"/>
              <w:bidi w:val="0"/>
              <w:spacing w:before="0" w:after="283"/>
              <w:jc w:val="both"/>
              <w:rPr/>
            </w:pPr>
            <w:r>
              <w:rPr/>
              <w:t xml:space="preserve">the Company is not carrying on any </w:t>
            </w:r>
            <w:r>
              <w:rPr>
                <w:b/>
              </w:rPr>
              <w:t>financial services business</w:t>
            </w:r>
            <w:r>
              <w:rPr/>
              <w:t xml:space="preserve"> (as defined in the Financial Services Commission Act, 2001 (as amended));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450"/>
        <w:gridCol w:w="9717"/>
      </w:tblGrid>
      <w:tr>
        <w:trPr/>
        <w:tc>
          <w:tcPr>
            <w:tcW w:w="3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2.16</w:t>
            </w:r>
          </w:p>
        </w:tc>
        <w:tc>
          <w:tcPr>
            <w:tcW w:w="9717" w:type="dxa"/>
            <w:tcBorders/>
            <w:vAlign w:val="center"/>
          </w:tcPr>
          <w:p>
            <w:pPr>
              <w:pStyle w:val="TableContents"/>
              <w:bidi w:val="0"/>
              <w:spacing w:before="0" w:after="283"/>
              <w:jc w:val="both"/>
              <w:rPr/>
            </w:pPr>
            <w:r>
              <w:rPr/>
              <w:t>the Company is not, nor is it owned or controlled directly or indirectly by, a state or sovereign entity;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2.17</w:t>
            </w:r>
          </w:p>
        </w:tc>
        <w:tc>
          <w:tcPr>
            <w:tcW w:w="9728" w:type="dxa"/>
            <w:tcBorders/>
            <w:vAlign w:val="center"/>
          </w:tcPr>
          <w:p>
            <w:pPr>
              <w:pStyle w:val="TableContents"/>
              <w:bidi w:val="0"/>
              <w:spacing w:before="0" w:after="283"/>
              <w:jc w:val="both"/>
              <w:rPr/>
            </w:pPr>
            <w:r>
              <w:rPr/>
              <w:t>the obligations of each party under each Securities Document to which it is (or to which it comes) party are (or will be) legal, valid, binding and enforceable under all applicable laws other than the laws of the BVI;</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486"/>
        <w:gridCol w:w="9678"/>
      </w:tblGrid>
      <w:tr>
        <w:trPr/>
        <w:tc>
          <w:tcPr>
            <w:tcW w:w="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2.18</w:t>
            </w:r>
          </w:p>
        </w:tc>
        <w:tc>
          <w:tcPr>
            <w:tcW w:w="9678" w:type="dxa"/>
            <w:tcBorders/>
            <w:vAlign w:val="center"/>
          </w:tcPr>
          <w:p>
            <w:pPr>
              <w:pStyle w:val="TableContents"/>
              <w:bidi w:val="0"/>
              <w:spacing w:before="0" w:after="283"/>
              <w:jc w:val="both"/>
              <w:rPr/>
            </w:pPr>
            <w:r>
              <w:rPr/>
              <w:t>none of our opinions will be affected by the laws or public policy of any foreign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442"/>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pPr>
            <w:r>
              <w:rPr/>
              <w:t>2.19</w:t>
            </w:r>
          </w:p>
        </w:tc>
        <w:tc>
          <w:tcPr>
            <w:tcW w:w="9725" w:type="dxa"/>
            <w:tcBorders/>
            <w:vAlign w:val="center"/>
          </w:tcPr>
          <w:p>
            <w:pPr>
              <w:pStyle w:val="TableContents"/>
              <w:bidi w:val="0"/>
              <w:spacing w:before="0" w:after="283"/>
              <w:jc w:val="both"/>
              <w:rPr/>
            </w:pPr>
            <w:r>
              <w:rPr/>
              <w:t>the choice of the governing law of each Securities Document has been (or will be) made in good faith;</w:t>
            </w:r>
          </w:p>
        </w:tc>
      </w:tr>
    </w:tbl>
    <w:p>
      <w:pPr>
        <w:pStyle w:val="TextBody"/>
        <w:bidi w:val="0"/>
        <w:spacing w:before="0" w:after="0"/>
        <w:ind w:left="720" w:right="0" w:hanging="72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5315"/>
      </w:tblGrid>
      <w:tr>
        <w:trPr/>
        <w:tc>
          <w:tcPr>
            <w:tcW w:w="5315" w:type="dxa"/>
            <w:tcBorders/>
            <w:vAlign w:val="center"/>
          </w:tcPr>
          <w:p>
            <w:pPr>
              <w:pStyle w:val="TableContents"/>
              <w:bidi w:val="0"/>
              <w:spacing w:before="0" w:after="283"/>
              <w:jc w:val="left"/>
              <w:rPr/>
            </w:pPr>
            <w:r>
              <w:rPr/>
              <w:t>Mourant Ozannes is a British Virgin Islands partnership</w:t>
            </w:r>
          </w:p>
        </w:tc>
      </w:tr>
      <w:tr>
        <w:trPr/>
        <w:tc>
          <w:tcPr>
            <w:tcW w:w="5315" w:type="dxa"/>
            <w:tcBorders>
              <w:top w:val="single" w:sz="8" w:space="0" w:color="000000"/>
            </w:tcBorders>
            <w:tcMar>
              <w:top w:w="28" w:type="dxa"/>
            </w:tcMar>
            <w:vAlign w:val="center"/>
          </w:tcPr>
          <w:p>
            <w:pPr>
              <w:pStyle w:val="TableContents"/>
              <w:bidi w:val="0"/>
              <w:spacing w:before="0" w:after="283"/>
              <w:jc w:val="right"/>
              <w:rPr/>
            </w:pPr>
            <w:r>
              <w:rPr/>
              <w:t>mourant.com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495"/>
        <w:gridCol w:w="8581"/>
      </w:tblGrid>
      <w:tr>
        <w:trPr/>
        <w:tc>
          <w:tcPr>
            <w:tcW w:w="12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pPr>
            <w:r>
              <w:rPr/>
              <w:t>2.20</w:t>
            </w:r>
          </w:p>
        </w:tc>
        <w:tc>
          <w:tcPr>
            <w:tcW w:w="8581" w:type="dxa"/>
            <w:tcBorders/>
            <w:vAlign w:val="center"/>
          </w:tcPr>
          <w:p>
            <w:pPr>
              <w:pStyle w:val="TableContents"/>
              <w:bidi w:val="0"/>
              <w:spacing w:before="0" w:after="283"/>
              <w:jc w:val="both"/>
              <w:rPr/>
            </w:pPr>
            <w:r>
              <w:rPr/>
              <w:t>in relation to the Searches:</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3"/>
        <w:gridCol w:w="9804"/>
      </w:tblGrid>
      <w:tr>
        <w:trPr/>
        <w:tc>
          <w:tcPr>
            <w:tcW w:w="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(a)</w:t>
            </w:r>
          </w:p>
        </w:tc>
        <w:tc>
          <w:tcPr>
            <w:tcW w:w="9804" w:type="dxa"/>
            <w:tcBorders/>
            <w:vAlign w:val="center"/>
          </w:tcPr>
          <w:p>
            <w:pPr>
              <w:pStyle w:val="TableContents"/>
              <w:bidi w:val="0"/>
              <w:spacing w:before="0" w:after="283"/>
              <w:jc w:val="both"/>
              <w:rPr/>
            </w:pPr>
            <w:r>
              <w:rPr/>
              <w:t>all public records of the Company we have examined are complete and accurate;</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all filings required to be made in relation to the Company with the Registrar have been made and there was no information which had been filed that did not appear on the records of the Company at the time of the Company Search;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the information disclosed by the Searches was at the time of each search, and continues to be,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96"/>
        <w:gridCol w:w="9667"/>
      </w:tblGrid>
      <w:tr>
        <w:trPr/>
        <w:tc>
          <w:tcPr>
            <w:tcW w:w="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2.21</w:t>
            </w:r>
          </w:p>
        </w:tc>
        <w:tc>
          <w:tcPr>
            <w:tcW w:w="9667" w:type="dxa"/>
            <w:tcBorders/>
            <w:vAlign w:val="center"/>
          </w:tcPr>
          <w:p>
            <w:pPr>
              <w:pStyle w:val="TableContents"/>
              <w:bidi w:val="0"/>
              <w:spacing w:before="0" w:after="283"/>
              <w:jc w:val="both"/>
              <w:rPr/>
            </w:pPr>
            <w:r>
              <w:rPr/>
              <w:t>the Company Records were, and remain at the date of this opinion,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2.22</w:t>
            </w:r>
          </w:p>
        </w:tc>
        <w:tc>
          <w:tcPr>
            <w:tcW w:w="9728" w:type="dxa"/>
            <w:tcBorders/>
            <w:vAlign w:val="center"/>
          </w:tcPr>
          <w:p>
            <w:pPr>
              <w:pStyle w:val="TableContents"/>
              <w:bidi w:val="0"/>
              <w:spacing w:before="0" w:after="283"/>
              <w:jc w:val="both"/>
              <w:rPr/>
            </w:pPr>
            <w:r>
              <w:rPr/>
              <w:t>no monies paid to or for the account of any person in relation to any Securities or property received or disposed of by any person in relation to any Securities (including under each applicable Securities Document), represent or will represent proceeds of criminal conduct (as defined in the Proceeds of Criminal Conduct Act, 1997 (as amended));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567"/>
        <w:gridCol w:w="9590"/>
      </w:tblGrid>
      <w:tr>
        <w:trPr/>
        <w:tc>
          <w:tcPr>
            <w:tcW w:w="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pPr>
            <w:r>
              <w:rPr/>
              <w:t>2.23</w:t>
            </w:r>
          </w:p>
        </w:tc>
        <w:tc>
          <w:tcPr>
            <w:tcW w:w="9590" w:type="dxa"/>
            <w:tcBorders/>
            <w:vAlign w:val="center"/>
          </w:tcPr>
          <w:p>
            <w:pPr>
              <w:pStyle w:val="TableContents"/>
              <w:bidi w:val="0"/>
              <w:spacing w:before="0" w:after="283"/>
              <w:jc w:val="both"/>
              <w:rPr/>
            </w:pPr>
            <w:r>
              <w:rPr/>
              <w:t>none of the Securities have or will be offered or issued to residents of the BVI.</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938"/>
        <w:gridCol w:w="7899"/>
      </w:tblGrid>
      <w:tr>
        <w:trPr/>
        <w:tc>
          <w:tcPr>
            <w:tcW w:w="36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pPr>
            <w:r>
              <w:rPr/>
              <w:t>3.</w:t>
            </w:r>
          </w:p>
        </w:tc>
        <w:tc>
          <w:tcPr>
            <w:tcW w:w="7899" w:type="dxa"/>
            <w:tcBorders/>
            <w:vAlign w:val="center"/>
          </w:tcPr>
          <w:p>
            <w:pPr>
              <w:pStyle w:val="TableContents"/>
              <w:bidi w:val="0"/>
              <w:spacing w:before="0" w:after="283"/>
              <w:jc w:val="both"/>
              <w:rPr/>
            </w:pPr>
            <w:r>
              <w:rPr/>
              <w:t>Opinion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assumptions, observations, qualifications and limitations set out in this opinion, and to matters not disclosed to us, we are of the following opinion.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b/>
              </w:rPr>
              <w:t>Status</w:t>
            </w:r>
            <w:r>
              <w:rPr/>
              <w:t>:  the Company is registered under the Companies Act, validly exists under the laws of the BVI and, on the date of issue of the Certificate of Good Standing, is of good standing with the Registrar.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b/>
              </w:rPr>
              <w:t>Issuance of the Class A Shares</w:t>
            </w:r>
            <w:r>
              <w:rPr/>
              <w:t>: when the issuance of the Class A Shares has been specifically authorised by the Company pursuant to the Director Resolutions and the terms of the issuance and sale of the Class A Shares have been duly established in conformity with the M&amp;A and the Director Resolutions, and when (i) the Class A Shares have been issued and delivered as contemplated by the Registration Statement and each applicable Securities Document, (ii) the Company has received the consideration provided for in each applicable Securities Document, and (iii) the name of the respective shareholder is entered in the Company’s register of members, such Class A Shares will be validly issued, fully paid and non-assessable.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b/>
              </w:rPr>
              <w:t>Issuance of the Non-Equity Securities</w:t>
            </w:r>
            <w:r>
              <w:rPr/>
              <w:t>: when the issuance of the Non-Equity Securities has been specifically authorised by the Company pursuant to the Director Resolutions and the terms of the issuance and sale of the Non-Equity Securities have been duly established in conformity with M&amp;A, the Director Resolutions and each applicable Securities Document, the Non-Equity Securities will constitute legal, valid and binding obligations on the Company in accordance with their terms.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b/>
              </w:rPr>
              <w:t>High Court Search</w:t>
            </w:r>
            <w:r>
              <w:rPr/>
              <w:t>:  the High Court Search does not show any actions or petitions pending against the Company in the BVI Courts at the time of our search.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b/>
              </w:rPr>
              <w:t>Authorised shares</w:t>
            </w:r>
            <w:r>
              <w:rPr/>
              <w:t>: based solely on our review of the M&amp;A, the Company is authorised to issue an unlimited number of no par value shares, which shall be divided as follows: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57"/>
        <w:gridCol w:w="9572"/>
      </w:tblGrid>
      <w:tr>
        <w:trPr/>
        <w:tc>
          <w:tcPr>
            <w:tcW w:w="7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(a)</w:t>
            </w:r>
          </w:p>
        </w:tc>
        <w:tc>
          <w:tcPr>
            <w:tcW w:w="9572" w:type="dxa"/>
            <w:tcBorders/>
            <w:vAlign w:val="center"/>
          </w:tcPr>
          <w:p>
            <w:pPr>
              <w:pStyle w:val="TableContents"/>
              <w:bidi w:val="0"/>
              <w:spacing w:before="0" w:after="283"/>
              <w:jc w:val="both"/>
              <w:rPr/>
            </w:pPr>
            <w:r>
              <w:rPr/>
              <w:t>Class A ordinary shares of no par value each;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Class B ordinary shares of no par value each (up to a maximum number of 5,000,000 Class B ordinary shares of no par value each),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combination of the above types of shares, or any combination of the above classes of shares.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629"/>
        <w:gridCol w:w="9457"/>
      </w:tblGrid>
      <w:tr>
        <w:trPr/>
        <w:tc>
          <w:tcPr>
            <w:tcW w:w="1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pPr>
            <w:r>
              <w:rPr/>
              <w:t>4.</w:t>
            </w:r>
          </w:p>
        </w:tc>
        <w:tc>
          <w:tcPr>
            <w:tcW w:w="9457" w:type="dxa"/>
            <w:tcBorders/>
            <w:vAlign w:val="center"/>
          </w:tcPr>
          <w:p>
            <w:pPr>
              <w:pStyle w:val="TableContents"/>
              <w:bidi w:val="0"/>
              <w:spacing w:before="0" w:after="283"/>
              <w:jc w:val="both"/>
              <w:rPr/>
            </w:pPr>
            <w:r>
              <w:rPr/>
              <w:t>Qualifications and observations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 and observations.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This opinion is subject to all laws relating to bankruptcy, dissolution, insolvency, re-organisation, liquidation, moratorium, court schemes and other laws and legal procedures of general application affecting or relating to the rights of creditors.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Any issuance of securities in the Company must be approved by the directors of the Company in accordance with the M&amp;A.</w:t>
            </w:r>
          </w:p>
        </w:tc>
      </w:tr>
    </w:tbl>
    <w:p>
      <w:pPr>
        <w:pStyle w:val="TextBody"/>
        <w:bidi w:val="0"/>
        <w:spacing w:before="0" w:after="0"/>
        <w:ind w:left="720" w:right="0" w:hanging="72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5315"/>
      </w:tblGrid>
      <w:tr>
        <w:trPr/>
        <w:tc>
          <w:tcPr>
            <w:tcW w:w="5315" w:type="dxa"/>
            <w:tcBorders/>
            <w:vAlign w:val="center"/>
          </w:tcPr>
          <w:p>
            <w:pPr>
              <w:pStyle w:val="TableContents"/>
              <w:bidi w:val="0"/>
              <w:spacing w:before="0" w:after="283"/>
              <w:jc w:val="left"/>
              <w:rPr/>
            </w:pPr>
            <w:r>
              <w:rPr/>
              <w:t>Mourant Ozannes is a British Virgin Islands partnership</w:t>
            </w:r>
          </w:p>
        </w:tc>
      </w:tr>
      <w:tr>
        <w:trPr/>
        <w:tc>
          <w:tcPr>
            <w:tcW w:w="5315" w:type="dxa"/>
            <w:tcBorders>
              <w:top w:val="single" w:sz="8" w:space="0" w:color="000000"/>
            </w:tcBorders>
            <w:tcMar>
              <w:top w:w="28" w:type="dxa"/>
            </w:tcMar>
            <w:vAlign w:val="center"/>
          </w:tcPr>
          <w:p>
            <w:pPr>
              <w:pStyle w:val="TableContents"/>
              <w:bidi w:val="0"/>
              <w:spacing w:before="0" w:after="283"/>
              <w:jc w:val="right"/>
              <w:rPr/>
            </w:pPr>
            <w:r>
              <w:rPr/>
              <w:t>mourant.com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Where a director fails, in accordance with the Companies Act, to disclose an interest in a transaction entered into by a BVI company, the transaction is voidable.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The Company Search will not reveal any document which has not been filed with the Registrar or which was filed but was not registered or did not appear on the Company’s file at the time of the Company Search.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30"/>
        <w:gridCol w:w="9724"/>
      </w:tblGrid>
      <w:tr>
        <w:trPr/>
        <w:tc>
          <w:tcPr>
            <w:tcW w:w="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4.5</w:t>
            </w:r>
          </w:p>
        </w:tc>
        <w:tc>
          <w:tcPr>
            <w:tcW w:w="9724" w:type="dxa"/>
            <w:tcBorders/>
            <w:vAlign w:val="center"/>
          </w:tcPr>
          <w:p>
            <w:pPr>
              <w:pStyle w:val="TableContents"/>
              <w:bidi w:val="0"/>
              <w:spacing w:before="0" w:after="283"/>
              <w:jc w:val="both"/>
              <w:rPr/>
            </w:pPr>
            <w:r>
              <w:rPr/>
              <w:t>The High Court Search will not reveal (among other things) if there are any:</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proceedings or appointments that have not been filed or that have been filed but have not been recorded in the High Court’s judicial enforcement management system;</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9"/>
        <w:gridCol w:w="9845"/>
      </w:tblGrid>
      <w:tr>
        <w:trPr/>
        <w:tc>
          <w:tcPr>
            <w:tcW w:w="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(b)</w:t>
            </w:r>
          </w:p>
        </w:tc>
        <w:tc>
          <w:tcPr>
            <w:tcW w:w="9845" w:type="dxa"/>
            <w:tcBorders/>
            <w:vAlign w:val="center"/>
          </w:tcPr>
          <w:p>
            <w:pPr>
              <w:pStyle w:val="TableContents"/>
              <w:bidi w:val="0"/>
              <w:spacing w:before="0" w:after="283"/>
              <w:jc w:val="both"/>
              <w:rPr/>
            </w:pPr>
            <w:r>
              <w:rPr/>
              <w:t>proceedings commenced prior to 1 January 2000 if no document has been filed since that date;</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86"/>
        <w:gridCol w:w="9766"/>
      </w:tblGrid>
      <w:tr>
        <w:trPr/>
        <w:tc>
          <w:tcPr>
            <w:tcW w:w="5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(c)</w:t>
            </w:r>
          </w:p>
        </w:tc>
        <w:tc>
          <w:tcPr>
            <w:tcW w:w="9766" w:type="dxa"/>
            <w:tcBorders/>
            <w:vAlign w:val="center"/>
          </w:tcPr>
          <w:p>
            <w:pPr>
              <w:pStyle w:val="TableContents"/>
              <w:bidi w:val="0"/>
              <w:spacing w:before="0" w:after="283"/>
              <w:jc w:val="both"/>
              <w:rPr/>
            </w:pPr>
            <w:r>
              <w:rPr/>
              <w:t>proceedings against the Company that have been threatened but not filed;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37"/>
        <w:gridCol w:w="9598"/>
      </w:tblGrid>
      <w:tr>
        <w:trPr/>
        <w:tc>
          <w:tcPr>
            <w:tcW w:w="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(d)</w:t>
            </w:r>
          </w:p>
        </w:tc>
        <w:tc>
          <w:tcPr>
            <w:tcW w:w="9598" w:type="dxa"/>
            <w:tcBorders/>
            <w:vAlign w:val="center"/>
          </w:tcPr>
          <w:p>
            <w:pPr>
              <w:pStyle w:val="TableContents"/>
              <w:bidi w:val="0"/>
              <w:spacing w:before="0" w:after="283"/>
              <w:jc w:val="both"/>
              <w:rPr/>
            </w:pPr>
            <w:r>
              <w:rPr/>
              <w:t>files that have been sealed pursuant to a court order; or</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4"/>
        <w:gridCol w:w="9780"/>
      </w:tblGrid>
      <w:tr>
        <w:trPr/>
        <w:tc>
          <w:tcPr>
            <w:tcW w:w="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(e)</w:t>
            </w:r>
          </w:p>
        </w:tc>
        <w:tc>
          <w:tcPr>
            <w:tcW w:w="9780" w:type="dxa"/>
            <w:tcBorders/>
            <w:vAlign w:val="center"/>
          </w:tcPr>
          <w:p>
            <w:pPr>
              <w:pStyle w:val="TableContents"/>
              <w:bidi w:val="0"/>
              <w:spacing w:before="0" w:after="283"/>
              <w:jc w:val="both"/>
              <w:rPr/>
            </w:pPr>
            <w:r>
              <w:rPr/>
              <w:t>arbitration proceedings in which the Company is a defendant or respondent.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The Insolvency Act requires a receiver appointed in respect of a BVI company (or any of its assets) to file a notice of appointment with the Registrar and (if the company is or has been a regulated person (as defined in the Insolvency Act)) with the British Virgin Islands Financial Services Commission. If the receiver fails to do so, the receiver will be guilty of an offence and liable to a fine. This does not, however, invalidate the receiver’s appointment.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58"/>
        <w:gridCol w:w="9805"/>
      </w:tblGrid>
      <w:tr>
        <w:trPr/>
        <w:tc>
          <w:tcPr>
            <w:tcW w:w="4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4.7</w:t>
            </w:r>
          </w:p>
        </w:tc>
        <w:tc>
          <w:tcPr>
            <w:tcW w:w="9805" w:type="dxa"/>
            <w:tcBorders/>
            <w:vAlign w:val="center"/>
          </w:tcPr>
          <w:p>
            <w:pPr>
              <w:pStyle w:val="TableContents"/>
              <w:bidi w:val="0"/>
              <w:spacing w:before="0" w:after="283"/>
              <w:jc w:val="both"/>
              <w:rPr/>
            </w:pPr>
            <w:r>
              <w:rPr/>
              <w:t xml:space="preserve">Under the Companies Act, a company is of </w:t>
            </w:r>
            <w:r>
              <w:rPr>
                <w:b/>
              </w:rPr>
              <w:t>good standing</w:t>
            </w:r>
            <w:r>
              <w:rPr/>
              <w:t xml:space="preserve"> if the Registrar is satisfied that 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33"/>
        <w:gridCol w:w="9713"/>
      </w:tblGrid>
      <w:tr>
        <w:trPr/>
        <w:tc>
          <w:tcPr>
            <w:tcW w:w="5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(a)</w:t>
            </w:r>
          </w:p>
        </w:tc>
        <w:tc>
          <w:tcPr>
            <w:tcW w:w="9713" w:type="dxa"/>
            <w:tcBorders/>
            <w:vAlign w:val="center"/>
          </w:tcPr>
          <w:p>
            <w:pPr>
              <w:pStyle w:val="TableContents"/>
              <w:bidi w:val="0"/>
              <w:spacing w:before="0" w:after="283"/>
              <w:jc w:val="both"/>
              <w:rPr/>
            </w:pPr>
            <w:r>
              <w:rPr/>
              <w:t>is listed on the register of companies maintained by the Registrar;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4"/>
        <w:gridCol w:w="9760"/>
      </w:tblGrid>
      <w:tr>
        <w:trPr/>
        <w:tc>
          <w:tcPr>
            <w:tcW w:w="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(b)</w:t>
            </w:r>
          </w:p>
        </w:tc>
        <w:tc>
          <w:tcPr>
            <w:tcW w:w="9760" w:type="dxa"/>
            <w:tcBorders/>
            <w:vAlign w:val="center"/>
          </w:tcPr>
          <w:p>
            <w:pPr>
              <w:pStyle w:val="TableContents"/>
              <w:bidi w:val="0"/>
              <w:spacing w:before="0" w:after="283"/>
              <w:jc w:val="both"/>
              <w:rPr/>
            </w:pPr>
            <w:r>
              <w:rPr/>
              <w:t>has paid to the Registrar all fees, annual fees and penalties due and payable;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has, where applicable, filed its annual return (as defined in the Companies Act) in accordance with section 98A of the Companies Act or it is not yet due to file its annual return;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has filed with the Registrar a copy of its register of directors which is complete (to the satisfaction of the Registrar as to the requisite information relating to each director and is properly filed) or is not yet due to file its register of directors with the Registrar.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1526"/>
        <w:gridCol w:w="8390"/>
      </w:tblGrid>
      <w:tr>
        <w:trPr/>
        <w:tc>
          <w:tcPr>
            <w:tcW w:w="28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pPr>
            <w:r>
              <w:rPr/>
              <w:t>5.</w:t>
            </w:r>
          </w:p>
        </w:tc>
        <w:tc>
          <w:tcPr>
            <w:tcW w:w="8390" w:type="dxa"/>
            <w:tcBorders/>
            <w:vAlign w:val="center"/>
          </w:tcPr>
          <w:p>
            <w:pPr>
              <w:pStyle w:val="TableContents"/>
              <w:bidi w:val="0"/>
              <w:spacing w:before="0" w:after="283"/>
              <w:jc w:val="both"/>
              <w:rPr/>
            </w:pPr>
            <w:r>
              <w:rPr/>
              <w:t>Limitations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This opinion is limited to the matters expressly stated in it and it is given solely in connection with the Registration Statement and the issuance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For the purposes of this opinion, we have only examined the documents listed in paragraph 1.1 above and carried out the Searches. We have not examined any term or document incorporated by reference, or otherwise referred to, whether in whole or part, in the Registration Statement and we offer no opinion on any such term or document.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We have made no investigation of, and express no opinion with respect to, the laws of any jurisdiction other than the BVI or the effect of the Registration Statement under those laws. In particular, we express no opinion as to the meaning or effect of any foreign statutes referred to in 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We assume no obligation to advise the Company (or any person we give consent to rely on this opinion) in relation to changes of fact or law that may have a bearing on the continuing accuracy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202"/>
        <w:gridCol w:w="8775"/>
      </w:tblGrid>
      <w:tr>
        <w:trPr/>
        <w:tc>
          <w:tcPr>
            <w:tcW w:w="22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6.</w:t>
            </w:r>
          </w:p>
        </w:tc>
        <w:tc>
          <w:tcPr>
            <w:tcW w:w="8775" w:type="dxa"/>
            <w:tcBorders/>
            <w:vAlign w:val="center"/>
          </w:tcPr>
          <w:p>
            <w:pPr>
              <w:pStyle w:val="TableContents"/>
              <w:bidi w:val="0"/>
              <w:spacing w:before="0" w:after="283"/>
              <w:jc w:val="both"/>
              <w:rPr/>
            </w:pPr>
            <w:r>
              <w:rPr/>
              <w:t>Governing law</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and any non-contractual obligations arising out of it, are governed by, and to be interpreted in accordance with, BVI laws in force on the date of this opinion.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938"/>
        <w:gridCol w:w="7899"/>
      </w:tblGrid>
      <w:tr>
        <w:trPr/>
        <w:tc>
          <w:tcPr>
            <w:tcW w:w="36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pPr>
            <w:r>
              <w:rPr/>
              <w:t>7.</w:t>
            </w:r>
          </w:p>
        </w:tc>
        <w:tc>
          <w:tcPr>
            <w:tcW w:w="7899" w:type="dxa"/>
            <w:tcBorders/>
            <w:vAlign w:val="center"/>
          </w:tcPr>
          <w:p>
            <w:pPr>
              <w:pStyle w:val="TableContents"/>
              <w:bidi w:val="0"/>
              <w:spacing w:before="0" w:after="283"/>
              <w:jc w:val="both"/>
              <w:rPr/>
            </w:pPr>
            <w:r>
              <w:rPr/>
              <w:t>Consent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This opinion may only be used in connection with the offer and sale of the Securities while the Registration Statement is effective.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pPr>
            <w:r>
              <w:rPr/>
              <w:t>7.2</w:t>
            </w:r>
          </w:p>
        </w:tc>
        <w:tc>
          <w:tcPr>
            <w:tcW w:w="8179" w:type="dxa"/>
            <w:tcBorders/>
            <w:vAlign w:val="center"/>
          </w:tcPr>
          <w:p>
            <w:pPr>
              <w:pStyle w:val="TableContents"/>
              <w:bidi w:val="0"/>
              <w:spacing w:before="0" w:after="283"/>
              <w:jc w:val="both"/>
              <w:rPr/>
            </w:pPr>
            <w:r>
              <w:rPr/>
              <w:t>We consent to:</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7"/>
        <w:gridCol w:w="9856"/>
      </w:tblGrid>
      <w:tr>
        <w:trPr/>
        <w:tc>
          <w:tcPr>
            <w:tcW w:w="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(a)</w:t>
            </w:r>
          </w:p>
        </w:tc>
        <w:tc>
          <w:tcPr>
            <w:tcW w:w="9856" w:type="dxa"/>
            <w:tcBorders/>
            <w:vAlign w:val="center"/>
          </w:tcPr>
          <w:p>
            <w:pPr>
              <w:pStyle w:val="TableContents"/>
              <w:bidi w:val="0"/>
              <w:spacing w:before="0" w:after="283"/>
              <w:jc w:val="both"/>
              <w:rPr/>
            </w:pPr>
            <w:r>
              <w:rPr/>
              <w:t>the filing of a copy of this opinion as Exhibits 5.1 and 23.2 to the Registration Statement; and</w:t>
            </w:r>
          </w:p>
        </w:tc>
      </w:tr>
    </w:tbl>
    <w:p>
      <w:pPr>
        <w:pStyle w:val="TextBody"/>
        <w:bidi w:val="0"/>
        <w:spacing w:before="0" w:after="0"/>
        <w:ind w:left="1530" w:right="0" w:hanging="8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 xml:space="preserve">reference to us being made in the section of the Prospectus under the heading </w:t>
            </w:r>
            <w:r>
              <w:rPr>
                <w:i/>
              </w:rPr>
              <w:t>Legal Matters</w:t>
            </w:r>
            <w:r>
              <w:rPr/>
              <w:t xml:space="preserve"> and elsewhere in the Prospectus.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consent, we do not admit that we are included in the category of persons whose consent is required under section 7 of the Securities Act or the rules and regulations promulgated by the SEC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Mourant Ozannes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Mourant Ozannes (British Virgin Islands)</w:t>
      </w:r>
    </w:p>
    <w:p>
      <w:pPr>
        <w:pStyle w:val="TextBody"/>
        <w:bidi w:val="0"/>
        <w:spacing w:before="0" w:after="283"/>
        <w:jc w:val="left"/>
        <w:rPr/>
      </w:pPr>
      <w:r>
        <w:rPr/>
        <w:t> </w:t>
      </w:r>
    </w:p>
    <w:tbl>
      <w:tblPr>
        <w:tblW w:w="5315" w:type="dxa"/>
        <w:jc w:val="left"/>
        <w:tblInd w:w="0" w:type="dxa"/>
        <w:tblLayout w:type="fixed"/>
        <w:tblCellMar>
          <w:top w:w="0" w:type="dxa"/>
          <w:left w:w="0" w:type="dxa"/>
          <w:bottom w:w="0" w:type="dxa"/>
          <w:right w:w="0" w:type="dxa"/>
        </w:tblCellMar>
      </w:tblPr>
      <w:tblGrid>
        <w:gridCol w:w="5315"/>
      </w:tblGrid>
      <w:tr>
        <w:trPr/>
        <w:tc>
          <w:tcPr>
            <w:tcW w:w="5315" w:type="dxa"/>
            <w:tcBorders/>
            <w:vAlign w:val="center"/>
          </w:tcPr>
          <w:p>
            <w:pPr>
              <w:pStyle w:val="TableContents"/>
              <w:bidi w:val="0"/>
              <w:spacing w:before="0" w:after="283"/>
              <w:jc w:val="left"/>
              <w:rPr/>
            </w:pPr>
            <w:r>
              <w:rPr/>
              <w:t>Mourant Ozannes is a British Virgin Islands partnership</w:t>
            </w:r>
          </w:p>
        </w:tc>
      </w:tr>
      <w:tr>
        <w:trPr/>
        <w:tc>
          <w:tcPr>
            <w:tcW w:w="5315" w:type="dxa"/>
            <w:tcBorders>
              <w:top w:val="single" w:sz="8" w:space="0" w:color="000000"/>
            </w:tcBorders>
            <w:tcMar>
              <w:top w:w="28" w:type="dxa"/>
            </w:tcMar>
            <w:vAlign w:val="center"/>
          </w:tcPr>
          <w:p>
            <w:pPr>
              <w:pStyle w:val="TableContents"/>
              <w:bidi w:val="0"/>
              <w:spacing w:before="0" w:after="283"/>
              <w:jc w:val="right"/>
              <w:rPr/>
            </w:pPr>
            <w:r>
              <w:rPr/>
              <w:t>mourant.com</w:t>
            </w:r>
          </w:p>
        </w:tc>
      </w:tr>
    </w:tbl>
    <w:p>
      <w:pPr>
        <w:pStyle w:val="TextBody"/>
        <w:bidi w:val="0"/>
        <w:spacing w:before="0" w:after="283"/>
        <w:jc w:val="left"/>
        <w:rPr/>
      </w:pPr>
      <w:r>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30" w:name="yyghex23-1.htm"/>
      <w:bookmarkStart w:id="31" w:name="ksyyghex231"/>
      <w:bookmarkEnd w:id="30"/>
      <w:bookmarkEnd w:id="31"/>
      <w:r>
        <w:rPr>
          <w:rFonts w:ascii="Times New Roman;Times;Serif" w:hAnsi="Times New Roman;Times;Serif"/>
          <w:b/>
          <w:i w:val="false"/>
          <w:caps w:val="false"/>
          <w:smallCaps w:val="false"/>
          <w:sz w:val="20"/>
        </w:rPr>
        <w:t>Exhibit 23.1</w:t>
      </w:r>
      <w:r>
        <w:br w:type="page"/>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218122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181225" cy="342900"/>
                    </a:xfrm>
                    <a:prstGeom prst="rect">
                      <a:avLst/>
                    </a:prstGeom>
                  </pic:spPr>
                </pic:pic>
              </a:graphicData>
            </a:graphic>
          </wp:inline>
        </w:drawing>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April 21, 2026 relating to the consolidated financial statements appearing in the Annual Report on Form 20-F, as amended of YY Group Holding Limited for the year ended December 31, 2025. We also consent to the reference to us under the heading “Experts” in such Registration Statement.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jc w:val="left"/>
        <w:rPr>
          <w:caps w:val="false"/>
          <w:smallCaps w:val="false"/>
        </w:rPr>
      </w:pPr>
      <w:r>
        <w:rPr>
          <w:caps w:val="false"/>
          <w:smallCaps w:val="false"/>
        </w:rPr>
        <w:t> </w:t>
      </w:r>
    </w:p>
    <w:p>
      <w:pPr>
        <w:pStyle w:val="TextBody"/>
        <w:bidi w:val="0"/>
        <w:spacing w:before="0" w:after="0"/>
        <w:ind w:left="131" w:right="0" w:hanging="0"/>
        <w:jc w:val="right"/>
        <w:rPr>
          <w:rFonts w:ascii="Times New Roman;Times;Serif" w:hAnsi="Times New Roman;Times;Serif"/>
          <w:b/>
          <w:i w:val="false"/>
          <w:caps w:val="false"/>
          <w:smallCaps w:val="false"/>
          <w:sz w:val="20"/>
        </w:rPr>
      </w:pPr>
      <w:bookmarkStart w:id="32" w:name="yyghex23-3.htm"/>
      <w:bookmarkStart w:id="33" w:name="ksyyghex233"/>
      <w:bookmarkEnd w:id="32"/>
      <w:bookmarkEnd w:id="33"/>
      <w:r>
        <w:rPr>
          <w:rFonts w:ascii="Times New Roman;Times;Serif" w:hAnsi="Times New Roman;Times;Serif"/>
          <w:b/>
          <w:i w:val="false"/>
          <w:caps w:val="false"/>
          <w:smallCaps w:val="false"/>
          <w:sz w:val="20"/>
        </w:rPr>
        <w:t>Exhibit 23.3</w:t>
      </w:r>
      <w:r>
        <w:br w:type="page"/>
      </w:r>
    </w:p>
    <w:p>
      <w:pPr>
        <w:pStyle w:val="TextBody"/>
        <w:bidi w:val="0"/>
        <w:spacing w:before="0" w:after="0"/>
        <w:ind w:left="131" w:right="0" w:hanging="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4194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3419475" cy="447675"/>
                    </a:xfrm>
                    <a:prstGeom prst="rect">
                      <a:avLst/>
                    </a:prstGeom>
                  </pic:spPr>
                </pic:pic>
              </a:graphicData>
            </a:graphic>
          </wp:inline>
        </w:drawing>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www.trianglelegal.com.sg</w:t>
      </w:r>
    </w:p>
    <w:p>
      <w:pPr>
        <w:pStyle w:val="TextBody"/>
        <w:bidi w:val="0"/>
        <w:spacing w:before="0" w:after="0"/>
        <w:ind w:left="0" w:right="0" w:hanging="0"/>
        <w:jc w:val="left"/>
        <w:rPr>
          <w:caps w:val="false"/>
          <w:smallCaps w:val="false"/>
        </w:rPr>
      </w:pPr>
      <w:r>
        <w:rPr>
          <w:caps w:val="false"/>
          <w:smallCaps w:val="false"/>
        </w:rPr>
        <w:t> </w:t>
      </w:r>
    </w:p>
    <w:tbl>
      <w:tblPr>
        <w:tblW w:w="7535" w:type="dxa"/>
        <w:jc w:val="left"/>
        <w:tblInd w:w="0" w:type="dxa"/>
        <w:tblLayout w:type="fixed"/>
        <w:tblCellMar>
          <w:top w:w="0" w:type="dxa"/>
          <w:left w:w="0" w:type="dxa"/>
          <w:bottom w:w="0" w:type="dxa"/>
          <w:right w:w="0" w:type="dxa"/>
        </w:tblCellMar>
      </w:tblPr>
      <w:tblGrid>
        <w:gridCol w:w="3815"/>
        <w:gridCol w:w="60"/>
        <w:gridCol w:w="920"/>
        <w:gridCol w:w="80"/>
        <w:gridCol w:w="266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Writer</w:t>
            </w:r>
          </w:p>
        </w:tc>
        <w:tc>
          <w:tcPr>
            <w:tcW w:w="8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pPr>
            <w:r>
              <w:rPr/>
              <w:t xml:space="preserve">Nico Lee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Joyce Soh</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10 July 2026</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pPr>
            <w:r>
              <w:rPr/>
              <w:t xml:space="preserve">nico@trianglelegal.com.sg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joyce@trianglelegal.com.sg</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lineRule="atLeast" w:line="229" w:before="0" w:after="283"/>
              <w:jc w:val="left"/>
              <w:rPr>
                <w:b/>
              </w:rPr>
            </w:pPr>
            <w:r>
              <w:rPr>
                <w:b/>
              </w:rPr>
              <w:t>YY GROUP HOLDINGS LIMITED</w:t>
            </w:r>
          </w:p>
        </w:tc>
        <w:tc>
          <w:tcPr>
            <w:tcW w:w="60" w:type="dxa"/>
            <w:tcBorders/>
            <w:vAlign w:val="center"/>
          </w:tcPr>
          <w:p>
            <w:pPr>
              <w:pStyle w:val="TableContents"/>
              <w:bidi w:val="0"/>
              <w:spacing w:lineRule="atLeast" w:line="229" w:before="0" w:after="283"/>
              <w:jc w:val="left"/>
              <w:rPr/>
            </w:pPr>
            <w:r>
              <w:rPr/>
              <w:t> </w:t>
            </w:r>
          </w:p>
        </w:tc>
        <w:tc>
          <w:tcPr>
            <w:tcW w:w="920" w:type="dxa"/>
            <w:tcBorders/>
            <w:vAlign w:val="center"/>
          </w:tcPr>
          <w:p>
            <w:pPr>
              <w:pStyle w:val="TableContents"/>
              <w:bidi w:val="0"/>
              <w:spacing w:lineRule="atLeast" w:line="229" w:before="0" w:after="283"/>
              <w:jc w:val="left"/>
              <w:rPr/>
            </w:pPr>
            <w:r>
              <w:rPr/>
              <w:t>Our Ref</w:t>
            </w:r>
          </w:p>
        </w:tc>
        <w:tc>
          <w:tcPr>
            <w:tcW w:w="80" w:type="dxa"/>
            <w:tcBorders/>
            <w:vAlign w:val="center"/>
          </w:tcPr>
          <w:p>
            <w:pPr>
              <w:pStyle w:val="TableContents"/>
              <w:bidi w:val="0"/>
              <w:spacing w:lineRule="atLeast" w:line="229" w:before="0" w:after="283"/>
              <w:jc w:val="left"/>
              <w:rPr/>
            </w:pPr>
            <w:r>
              <w:rPr/>
              <w:t>:</w:t>
            </w:r>
          </w:p>
        </w:tc>
        <w:tc>
          <w:tcPr>
            <w:tcW w:w="2660" w:type="dxa"/>
            <w:tcBorders/>
            <w:vAlign w:val="center"/>
          </w:tcPr>
          <w:p>
            <w:pPr>
              <w:pStyle w:val="TableContents"/>
              <w:bidi w:val="0"/>
              <w:spacing w:lineRule="atLeast" w:line="229" w:before="0" w:after="283"/>
              <w:jc w:val="left"/>
              <w:rPr/>
            </w:pPr>
            <w:r>
              <w:rPr/>
              <w:t>2025-00225-NL</w:t>
            </w:r>
          </w:p>
        </w:tc>
      </w:tr>
      <w:tr>
        <w:trPr/>
        <w:tc>
          <w:tcPr>
            <w:tcW w:w="3815" w:type="dxa"/>
            <w:tcBorders/>
            <w:vAlign w:val="center"/>
          </w:tcPr>
          <w:p>
            <w:pPr>
              <w:pStyle w:val="TableContents"/>
              <w:bidi w:val="0"/>
              <w:spacing w:before="0" w:after="283"/>
              <w:jc w:val="left"/>
              <w:rPr/>
            </w:pPr>
            <w:r>
              <w:rPr/>
              <w:t xml:space="preserve">60 Paya Lebar Road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Your Ref</w:t>
            </w:r>
          </w:p>
        </w:tc>
        <w:tc>
          <w:tcPr>
            <w:tcW w:w="8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Paya Lebar Square</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#09-13</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Singapore 409051</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lineRule="atLeast" w:line="229" w:before="0" w:after="283"/>
              <w:jc w:val="left"/>
              <w:rPr/>
            </w:pPr>
            <w:r>
              <w:rPr/>
              <w:t> </w:t>
            </w:r>
          </w:p>
        </w:tc>
        <w:tc>
          <w:tcPr>
            <w:tcW w:w="60" w:type="dxa"/>
            <w:tcBorders/>
            <w:vAlign w:val="center"/>
          </w:tcPr>
          <w:p>
            <w:pPr>
              <w:pStyle w:val="TableContents"/>
              <w:bidi w:val="0"/>
              <w:spacing w:lineRule="atLeast" w:line="229" w:before="0" w:after="283"/>
              <w:jc w:val="left"/>
              <w:rPr/>
            </w:pPr>
            <w:r>
              <w:rPr/>
              <w:t> </w:t>
            </w:r>
          </w:p>
        </w:tc>
        <w:tc>
          <w:tcPr>
            <w:tcW w:w="920" w:type="dxa"/>
            <w:tcBorders/>
            <w:vAlign w:val="center"/>
          </w:tcPr>
          <w:p>
            <w:pPr>
              <w:pStyle w:val="TableContents"/>
              <w:bidi w:val="0"/>
              <w:spacing w:lineRule="atLeast" w:line="229" w:before="0" w:after="283"/>
              <w:jc w:val="left"/>
              <w:rPr/>
            </w:pPr>
            <w:r>
              <w:rPr/>
              <w:t> </w:t>
            </w:r>
          </w:p>
        </w:tc>
        <w:tc>
          <w:tcPr>
            <w:tcW w:w="80" w:type="dxa"/>
            <w:tcBorders/>
            <w:vAlign w:val="center"/>
          </w:tcPr>
          <w:p>
            <w:pPr>
              <w:pStyle w:val="TableContents"/>
              <w:bidi w:val="0"/>
              <w:spacing w:lineRule="atLeast" w:line="229" w:before="0" w:after="283"/>
              <w:jc w:val="left"/>
              <w:rPr/>
            </w:pPr>
            <w:r>
              <w:rPr/>
              <w:t> </w:t>
            </w:r>
          </w:p>
        </w:tc>
        <w:tc>
          <w:tcPr>
            <w:tcW w:w="2660" w:type="dxa"/>
            <w:tcBorders/>
            <w:vAlign w:val="center"/>
          </w:tcPr>
          <w:p>
            <w:pPr>
              <w:pStyle w:val="TableContents"/>
              <w:bidi w:val="0"/>
              <w:spacing w:lineRule="atLeast" w:line="229"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0" w:type="dxa"/>
            <w:gridSpan w:val="3"/>
            <w:tcBorders/>
            <w:vAlign w:val="center"/>
          </w:tcPr>
          <w:p>
            <w:pPr>
              <w:pStyle w:val="TableContents"/>
              <w:bidi w:val="0"/>
              <w:spacing w:before="0" w:after="283"/>
              <w:jc w:val="left"/>
              <w:rPr>
                <w:b/>
              </w:rPr>
            </w:pPr>
            <w:r>
              <w:rPr>
                <w:b/>
              </w:rPr>
              <w:t>BY EMAIL ONLY</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0" w:type="dxa"/>
            <w:gridSpan w:val="3"/>
            <w:tcBorders/>
            <w:vAlign w:val="center"/>
          </w:tcPr>
          <w:p>
            <w:pPr>
              <w:pStyle w:val="TableContents"/>
              <w:bidi w:val="0"/>
              <w:spacing w:before="0" w:after="283"/>
              <w:jc w:val="left"/>
              <w:rPr/>
            </w:pPr>
            <w:r>
              <w:rPr/>
              <w:t xml:space="preserve">jason.phua@yygroupholding.com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0" w:type="dxa"/>
            <w:gridSpan w:val="3"/>
            <w:tcBorders/>
            <w:vAlign w:val="center"/>
          </w:tcPr>
          <w:p>
            <w:pPr>
              <w:pStyle w:val="TableContents"/>
              <w:bidi w:val="0"/>
              <w:spacing w:before="0" w:after="283"/>
              <w:jc w:val="left"/>
              <w:rPr/>
            </w:pPr>
            <w:r>
              <w:rPr/>
              <w:t>mike@YYGroupHolding.com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Attention: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 – FORM F-3</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15"/>
        <w:gridCol w:w="9080"/>
      </w:tblGrid>
      <w:tr>
        <w:trPr/>
        <w:tc>
          <w:tcPr>
            <w:tcW w:w="215" w:type="dxa"/>
            <w:tcBorders/>
            <w:vAlign w:val="center"/>
          </w:tcPr>
          <w:p>
            <w:pPr>
              <w:pStyle w:val="TableContents"/>
              <w:bidi w:val="0"/>
              <w:spacing w:before="0" w:after="283"/>
              <w:jc w:val="left"/>
              <w:rPr/>
            </w:pPr>
            <w:r>
              <w:rPr/>
              <w:t>1.</w:t>
            </w:r>
          </w:p>
        </w:tc>
        <w:tc>
          <w:tcPr>
            <w:tcW w:w="9080" w:type="dxa"/>
            <w:tcBorders/>
            <w:vAlign w:val="center"/>
          </w:tcPr>
          <w:p>
            <w:pPr>
              <w:pStyle w:val="TableContents"/>
              <w:bidi w:val="0"/>
              <w:spacing w:before="0" w:after="283"/>
              <w:jc w:val="both"/>
              <w:rPr/>
            </w:pPr>
            <w:r>
              <w:rPr/>
              <w:t>All capitalised terms used in this letter shall have the same meanings as defined in the Form F-3.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2.</w:t>
            </w:r>
          </w:p>
        </w:tc>
        <w:tc>
          <w:tcPr>
            <w:tcW w:w="10025" w:type="dxa"/>
            <w:tcBorders/>
            <w:vAlign w:val="center"/>
          </w:tcPr>
          <w:p>
            <w:pPr>
              <w:pStyle w:val="TableContents"/>
              <w:bidi w:val="0"/>
              <w:spacing w:before="0" w:after="283"/>
              <w:jc w:val="both"/>
              <w:rPr/>
            </w:pPr>
            <w:r>
              <w:rPr/>
              <w:t>We, Triangle Legal LLC, have acted as legal advisers as to the laws of Singapore to YY Group Holding Limited, a company incorporated under the laws of the British Virgin Islands with company number 2118556 (the "</w:t>
            </w:r>
            <w:r>
              <w:rPr>
                <w:b/>
              </w:rPr>
              <w:t>Company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3.</w:t>
            </w:r>
          </w:p>
        </w:tc>
        <w:tc>
          <w:tcPr>
            <w:tcW w:w="10038" w:type="dxa"/>
            <w:tcBorders/>
            <w:vAlign w:val="center"/>
          </w:tcPr>
          <w:p>
            <w:pPr>
              <w:pStyle w:val="TableContents"/>
              <w:bidi w:val="0"/>
              <w:spacing w:before="0" w:after="283"/>
              <w:jc w:val="both"/>
              <w:rPr/>
            </w:pPr>
            <w:r>
              <w:rPr/>
              <w:t>We hereby consent to the inclusion of references to our firm in the Company's Registration Statement on Form F</w:t>
            </w:r>
            <w:r>
              <w:rPr>
                <w:rFonts w:ascii="Times New Roman;Times;Serif" w:hAnsi="Times New Roman;Times;Serif"/>
              </w:rPr>
              <w:t>-</w:t>
            </w:r>
            <w:r>
              <w:rPr/>
              <w:t>3, together with the documents incorporated therein by reference, as amended or supplemented from time to time (the "</w:t>
            </w:r>
            <w:r>
              <w:rPr>
                <w:b/>
              </w:rPr>
              <w:t>Registration Statement</w:t>
            </w:r>
            <w:r>
              <w:rPr/>
              <w:t>"), which is proposed to be filed with the United States Securities and Exchange Commission (the "</w:t>
            </w:r>
            <w:r>
              <w:rPr>
                <w:b/>
              </w:rPr>
              <w:t>SEC</w:t>
            </w:r>
            <w:r>
              <w:rPr/>
              <w:t>"). We further consent to the filing of this consent letter as an exhibit 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TRIANGLE LEGAL LLC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6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TRIANGLE LEGAL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TRIANGLE LEGAL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(UEN No.: 202519903R)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Bridge Road High Street Centre #12-07 Singapore 179094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+65 92473935</w:t>
      </w:r>
    </w:p>
    <w:p>
      <w:pPr>
        <w:pStyle w:val="TextBody"/>
        <w:bidi w:val="0"/>
        <w:spacing w:lineRule="atLeast" w:line="183"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Triangle Legal LLC is a law corporation with limited liability</w:t>
      </w:r>
    </w:p>
    <w:p>
      <w:pPr>
        <w:pStyle w:val="TextBody"/>
        <w:bidi w:val="0"/>
        <w:spacing w:before="0" w:after="0"/>
        <w:ind w:left="2592" w:right="0" w:hanging="0"/>
        <w:jc w:val="right"/>
        <w:rPr>
          <w:rFonts w:ascii="Times New Roman;Times;Serif" w:hAnsi="Times New Roman;Times;Serif"/>
          <w:b/>
          <w:i w:val="false"/>
          <w:caps w:val="false"/>
          <w:smallCaps w:val="false"/>
          <w:sz w:val="20"/>
        </w:rPr>
      </w:pPr>
      <w:bookmarkStart w:id="34" w:name="yyghex23-4.htm"/>
      <w:bookmarkStart w:id="35" w:name="ksyyghex234"/>
      <w:bookmarkEnd w:id="34"/>
      <w:bookmarkEnd w:id="35"/>
      <w:r>
        <w:rPr>
          <w:rFonts w:ascii="Times New Roman;Times;Serif" w:hAnsi="Times New Roman;Times;Serif"/>
          <w:b/>
          <w:i w:val="false"/>
          <w:caps w:val="false"/>
          <w:smallCaps w:val="false"/>
          <w:sz w:val="20"/>
        </w:rPr>
        <w:t>Exhibit 23.4</w:t>
      </w:r>
      <w:r>
        <w:br w:type="page"/>
      </w:r>
    </w:p>
    <w:p>
      <w:pPr>
        <w:pStyle w:val="TextBody"/>
        <w:bidi w:val="0"/>
        <w:spacing w:before="0" w:after="0"/>
        <w:ind w:left="2592"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1932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2219325" cy="561975"/>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 v o c a t e s</w:t>
        <w:tab/>
        <w:t>&amp;</w:t>
        <w:tab/>
        <w:t>S o l i c i t o r s</w:t>
      </w:r>
    </w:p>
    <w:p>
      <w:pPr>
        <w:pStyle w:val="TextBody"/>
        <w:bidi w:val="0"/>
        <w:spacing w:lineRule="atLeast" w:line="229"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905"/>
        <w:gridCol w:w="2270"/>
      </w:tblGrid>
      <w:tr>
        <w:trPr/>
        <w:tc>
          <w:tcPr>
            <w:tcW w:w="905" w:type="dxa"/>
            <w:tcBorders/>
            <w:vAlign w:val="center"/>
          </w:tcPr>
          <w:p>
            <w:pPr>
              <w:pStyle w:val="TableContents"/>
              <w:bidi w:val="0"/>
              <w:spacing w:before="0" w:after="283"/>
              <w:jc w:val="left"/>
              <w:rPr/>
            </w:pPr>
            <w:r>
              <w:rPr/>
              <w:t>Our ref:</w:t>
            </w:r>
          </w:p>
        </w:tc>
        <w:tc>
          <w:tcPr>
            <w:tcW w:w="2270" w:type="dxa"/>
            <w:tcBorders/>
            <w:vAlign w:val="center"/>
          </w:tcPr>
          <w:p>
            <w:pPr>
              <w:pStyle w:val="TableContents"/>
              <w:bidi w:val="0"/>
              <w:spacing w:before="0" w:after="283"/>
              <w:jc w:val="left"/>
              <w:rPr/>
            </w:pPr>
            <w:r>
              <w:rPr/>
              <w:t>RT/2026/YYG/010493</w:t>
            </w:r>
          </w:p>
        </w:tc>
      </w:tr>
      <w:tr>
        <w:trPr/>
        <w:tc>
          <w:tcPr>
            <w:tcW w:w="905" w:type="dxa"/>
            <w:tcBorders/>
            <w:vAlign w:val="center"/>
          </w:tcPr>
          <w:p>
            <w:pPr>
              <w:pStyle w:val="TableContents"/>
              <w:bidi w:val="0"/>
              <w:spacing w:before="0" w:after="283"/>
              <w:jc w:val="left"/>
              <w:rPr/>
            </w:pPr>
            <w:r>
              <w:rPr/>
              <w:t>Your ref:</w:t>
            </w:r>
          </w:p>
        </w:tc>
        <w:tc>
          <w:tcPr>
            <w:tcW w:w="2270" w:type="dxa"/>
            <w:tcBorders/>
            <w:vAlign w:val="center"/>
          </w:tcPr>
          <w:p>
            <w:pPr>
              <w:pStyle w:val="TableContents"/>
              <w:bidi w:val="0"/>
              <w:spacing w:before="0" w:after="283"/>
              <w:jc w:val="left"/>
              <w:rPr/>
            </w:pPr>
            <w:r>
              <w:rPr/>
              <w:t xml:space="preserve">[please provide] </w:t>
            </w:r>
          </w:p>
        </w:tc>
      </w:tr>
    </w:tbl>
    <w:p>
      <w:pPr>
        <w:pStyle w:val="TextBody"/>
        <w:bidi w:val="0"/>
        <w:spacing w:lineRule="atLeast" w:line="229" w:before="0" w:after="0"/>
        <w:ind w:left="0" w:right="0" w:hanging="0"/>
        <w:jc w:val="left"/>
        <w:rPr>
          <w:caps w:val="false"/>
          <w:smallCaps w:val="false"/>
        </w:rPr>
      </w:pPr>
      <w:r>
        <w:rPr>
          <w:caps w:val="false"/>
          <w:smallCaps w:val="false"/>
        </w:rPr>
        <w:t> </w:t>
      </w:r>
    </w:p>
    <w:p>
      <w:pPr>
        <w:pStyle w:val="TextBody"/>
        <w:bidi w:val="0"/>
        <w:spacing w:lineRule="atLeast" w:line="229"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10 July 2026</w:t>
      </w:r>
    </w:p>
    <w:p>
      <w:pPr>
        <w:pStyle w:val="TextBody"/>
        <w:bidi w:val="0"/>
        <w:spacing w:lineRule="atLeast" w:line="229"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855"/>
        <w:gridCol w:w="60"/>
        <w:gridCol w:w="950"/>
      </w:tblGrid>
      <w:tr>
        <w:trPr/>
        <w:tc>
          <w:tcPr>
            <w:tcW w:w="2855" w:type="dxa"/>
            <w:tcBorders/>
            <w:vAlign w:val="center"/>
          </w:tcPr>
          <w:p>
            <w:pPr>
              <w:pStyle w:val="TableContents"/>
              <w:bidi w:val="0"/>
              <w:spacing w:before="0" w:after="283"/>
              <w:jc w:val="left"/>
              <w:rPr>
                <w:b/>
              </w:rPr>
            </w:pPr>
            <w:r>
              <w:rPr>
                <w:b/>
              </w:rPr>
              <w:t>YY Group Holding Limited</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b/>
                <w:i/>
              </w:rPr>
            </w:pPr>
            <w:r>
              <w:rPr>
                <w:b/>
                <w:i/>
              </w:rPr>
              <w:t>By Email</w:t>
            </w:r>
          </w:p>
        </w:tc>
      </w:tr>
    </w:tbl>
    <w:p>
      <w:pPr>
        <w:pStyle w:val="TextBody"/>
        <w:bidi w:val="0"/>
        <w:spacing w:lineRule="atLeast" w:line="229"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 60 Paya Lebar Road </w:t>
        <w:br/>
        <w:t>Paya Lebar Square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 to 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Attn: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tLeast" w:line="229"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 REGISTRATION STATEMENT - Letter of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HL Tan Lim &amp; Partners, act as legal advisers to YY Group Holding Limited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laws of Malaysia in connection with the Company’s Registration Statement on Form F-3, as amended and supplemented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which will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of our firm’s name in the Registration Statement as the Company’s “Malaysia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consent to the filing with the SEC of this consent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matters opined in the Registration Statement only, we do not make or purport to make any other statements in the Registration Statement and are not aware of any statements in the Registration Statement which purports to be based on a statement made by us, and we make no representation expressed or implied regarding, and to the extent permitted by law, take no responsibility for, any statement in or omission from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HL Tan Lim &amp;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Tan Lim &amp;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HL TAN LIM &amp; PARTNERS | Advocates &amp; Solicitors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B-5-8 Plaza Mont Kiara Mont Kiara 50480 Kuala Lumpur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+603 2788 3602 | F +603 2788 3603</w:t>
      </w:r>
    </w:p>
    <w:p>
      <w:pPr>
        <w:pStyle w:val="TextBody"/>
        <w:bidi w:val="0"/>
        <w:spacing w:lineRule="atLeast" w:line="193"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www.hltlpartners.com</w:t>
      </w:r>
    </w:p>
    <w:p>
      <w:pPr>
        <w:pStyle w:val="TextBody"/>
        <w:bidi w:val="0"/>
        <w:spacing w:lineRule="atLeast" w:line="193" w:before="0" w:after="0"/>
        <w:jc w:val="center"/>
        <w:rPr>
          <w:caps w:val="false"/>
          <w:smallCaps w:val="false"/>
        </w:rPr>
      </w:pPr>
      <w:r>
        <w:rPr>
          <w:caps w:val="false"/>
          <w:smallCaps w:val="false"/>
        </w:rPr>
        <w:t> </w:t>
      </w:r>
    </w:p>
    <w:p>
      <w:pPr>
        <w:pStyle w:val="TextBody"/>
        <w:bidi w:val="0"/>
        <w:spacing w:lineRule="atLeast" w:line="193" w:before="0" w:after="0"/>
        <w:jc w:val="center"/>
        <w:rPr>
          <w:caps w:val="false"/>
          <w:smallCaps w:val="false"/>
        </w:rPr>
      </w:pPr>
      <w:r>
        <w:rPr>
          <w:caps w:val="false"/>
          <w:smallCaps w:val="false"/>
        </w:rPr>
        <w:t> </w:t>
      </w:r>
    </w:p>
    <w:p>
      <w:pPr>
        <w:pStyle w:val="TextBody"/>
        <w:bidi w:val="0"/>
        <w:spacing w:lineRule="atLeast" w:line="184"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 a p i t a l m a r k e t s | m e r g e r s &amp; a c q u i s i t i o n s | c o r p o r a t e c o m m e r c i a l | b a n k i n g &amp; f i n a n c e | r e a l e s t a t e | p r i v a t e c l i e n t s |</w:t>
      </w:r>
    </w:p>
    <w:p>
      <w:pPr>
        <w:pStyle w:val="TextBody"/>
        <w:bidi w:val="0"/>
        <w:spacing w:before="0" w:after="240"/>
        <w:jc w:val="right"/>
        <w:rPr>
          <w:rFonts w:ascii="Times New Roman;Times;Serif" w:hAnsi="Times New Roman;Times;Serif"/>
          <w:b/>
          <w:i w:val="false"/>
          <w:caps w:val="false"/>
          <w:smallCaps w:val="false"/>
          <w:sz w:val="24"/>
        </w:rPr>
      </w:pPr>
      <w:bookmarkStart w:id="36" w:name="yyghex-fee.htm"/>
      <w:bookmarkStart w:id="37" w:name="ksyyghexfee"/>
      <w:bookmarkEnd w:id="36"/>
      <w:bookmarkEnd w:id="37"/>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YY Group Holding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1005" w:type="dxa"/>
        <w:jc w:val="left"/>
        <w:tblInd w:w="0" w:type="dxa"/>
        <w:tblLayout w:type="fixed"/>
        <w:tblCellMar>
          <w:top w:w="0" w:type="dxa"/>
          <w:left w:w="0" w:type="dxa"/>
          <w:bottom w:w="0" w:type="dxa"/>
          <w:right w:w="0" w:type="dxa"/>
        </w:tblCellMar>
      </w:tblPr>
      <w:tblGrid>
        <w:gridCol w:w="530"/>
        <w:gridCol w:w="60"/>
        <w:gridCol w:w="1160"/>
        <w:gridCol w:w="60"/>
        <w:gridCol w:w="120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100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Class A 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13,810.00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5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13,810.00</w:t>
            </w:r>
          </w:p>
        </w:tc>
      </w:tr>
      <w:tr>
        <w:trPr/>
        <w:tc>
          <w:tcPr>
            <w:tcW w:w="695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95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95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13,810.00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There are being registered hereunder such indeterminate amount of the securities of each identified class as may from time to time be offered hereunder by the Registrant at indeterminate prices which shall have an aggregate initial offering price not to exceed $100,000,000.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There are being registered hereunder such indeterminate amount of the securities of each identified class as may from time to time be offered hereunder by the Registrant at indeterminate prices which shall have an aggregate initial offering price not to exceed $100,000,000.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w:t>
              <w:br/>
              <w:br/>
              <w:t>Debt securities may be senior or subordinated, convertible or non-convertible and secured or unsecured.</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There are being registered hereunder such indeterminate amount of the securities of each identified class as may from time to time be offered hereunder by the Registrant at indeterminate prices which shall have an aggregate initial offering price not to exceed $100,000,000.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w:t>
              <w:br/>
              <w:br/>
              <w:t>Warrants may represent rights to purchase debt securities, Class A ordinary shares, or other securities registered hereunder.</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There are being registered hereunder such indeterminate amount of the securities of each identified class as may from time to time be offered hereunder by the Registrant at indeterminate prices which shall have an aggregate initial offering price not to exceed $100,000,000.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w:t>
              <w:br/>
              <w:br/>
              <w:t>Subscription rights evidence rights to purchase any securities of the Registrant registered under this registration statement.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There are being registered hereunder such indeterminate amount of the securities of each identified class as may from time to time be offered hereunder by the Registrant at indeterminate prices which shall have an aggregate initial offering price not to exceed $100,000,000.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w:t>
              <w:br/>
              <w:br/>
              <w:t>Any securities registered under this registration statement may be sold separately or as units with other securities registered under this registration statement.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There are being registered hereunder such indeterminate amount of the securities of each identified class as may from time to time be offered hereunder by the Registrant at indeterminate prices which shall have an aggregate initial offering price not to exceed $100,000,000.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$100,000,000, less the aggregate dollar amount of all securities previously issued hereunder.</w:t>
              <w:br/>
              <w:br/>
              <w:t>The proposed maximum offering price per security for the primary offering will be determined, from time to time, by the Registrant in connection with the issuance by the Registrant of the securities registered hereunder and is not specified as to each class of security pursuant to General Instruction II.D. of Form F-3 under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85337/000118518526001522/yygh6k042726.htm" TargetMode="External"/><Relationship Id="rId4" Type="http://schemas.openxmlformats.org/officeDocument/2006/relationships/hyperlink" Target="https://www.sec.gov/Archives/edgar/data/1985337/000118518526002531/yygh6k061626.htm" TargetMode="External"/><Relationship Id="rId5" Type="http://schemas.openxmlformats.org/officeDocument/2006/relationships/hyperlink" Target="https://www.sec.gov/Archives/edgar/data/1985337/000118518526002621/yygh6k062326.htm" TargetMode="External"/><Relationship Id="rId6" Type="http://schemas.openxmlformats.org/officeDocument/2006/relationships/hyperlink" Target="https://www.sec.gov/Archives/edgar/data/1985337/000118518526002690/yygh6k062626.htm" TargetMode="External"/><Relationship Id="rId7" Type="http://schemas.openxmlformats.org/officeDocument/2006/relationships/hyperlink" Target="https://www.sec.gov/Archives/edgar/data/1985337/000118518526001449/yygh20f123125.htm" TargetMode="External"/><Relationship Id="rId8" Type="http://schemas.openxmlformats.org/officeDocument/2006/relationships/hyperlink" Target="https://www.sec.gov/Archives/edgar/data/1985337/000118518526001495/yygh20fa1123125.htm" TargetMode="External"/><Relationship Id="rId9" Type="http://schemas.openxmlformats.org/officeDocument/2006/relationships/hyperlink" Target="http://www.sec.gov/Archives/edgar/data/1985337/000121390024034179/ea0203122-8a12b_yygroup.htm" TargetMode="External"/><Relationship Id="rId10" Type="http://schemas.openxmlformats.org/officeDocument/2006/relationships/hyperlink" Target="http://www.sec.gov/Archives/edgar/data/1985337/000118518526001495/yyghex2-1.htm" TargetMode="Externa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46967</Words>
  <Characters>241606</Characters>
  <CharactersWithSpaces>288398</CharactersWithSpaces>
  <Paragraphs>3582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