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yygh6k082026.htm"/>
      <w:bookmarkStart w:id="1" w:name="ksyygh6k082026"/>
      <w:bookmarkEnd w:id="0"/>
      <w:bookmarkEnd w:id="1"/>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YY Group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Reports on Form 6-K filed by the Company on February 27, 2026 and March 2, 2026, the Company issued (i) 8% original issue discount Convertible Promissory Notes in the aggregate principal amount of $5,940,000 (the “Convertible Notes”), and (ii) warrants (the “Warrants”) to purchase Class A ordinary shares of the Company, pursuant to a securities purchase agreement by and between the Company and certain investors dated February 27, 2026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Convertible Notes and Warrants, the Company effected two reverse share splits: (i) a 1-for-50 reverse share split on March 23, 2026, which adjusted the Floor Price (as defined in the Convertible Note) from $0.092 to $4.60, and (ii) a 1-for-30 reverse share split on June 23, 2026, which adjusted the Floor Price from $4.60 to $138.00 (collectively, the “Reverse Splits”).The Reverse Splits triggered a Floor Price Event under the Convertible Note. As a result, the holder of the outstanding Convertible Note and Warrants (the “Holder”) elected to have the Company redeem the Convertible Note for a redemption amount equal to $6,794,775.79, representing the entire outstanding principal amount plus accrued interest, multiplied by a 125% redemption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Company entered into a Supplemental Agreement (the “Supplemental Agreement”) with the Holder, supplementing the Securities Purchase Agreement. Before the date of the Supplemental Agreement, the Company had paid $5,428,323.29 of the redemption amount, leaving a remaining redemption amount of $1,366,452.50 (the “Remaining Redemption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Supplemental Agreement, the Company is required to repay the Remaining Redemption Amount on or before December 31, 2026. Prepayment is permitted at any time without penalty, and no further interest shall accrue on the Remaining Redemption Amount from and after the date of the Supplemental Agreement. The Company is required to apply 50% of the gross proceeds from any at-the-market (“ATM”) offering program (after deducting customary costs) toward repayment of the Remaining Redemption Amount. Any ATM program exceeding $20 million in aggregate requires the Holder’s prior written consent. In addition, the Company is required to apply 50% of the net proceeds from any Subsequent Financing (as defined in the Supplemental Agreement), with certain exemptions, toward repayment of the Remaining Redemption Amount. Under the Supplemental Agreement, a failure by the Company to repay the Remaining Redemption Amount in full by December 31, 2026 constitutes an Event of Default, subject to a five (5) Business Day cure period following written notice from the Holder. Upon an Event of Default, interest shall accrue on the outstanding balance at the rate of 25% per annum. Following full repayment of the Remaining Redemption Amount, all obligations of the Company under the Convertible Note shall automatically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Second Tranche Closing under the Securities Purchase Agreement has been cancelled, and the parties have exchanged a mutual release of claims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Warrants to purchase up to 11,284 Class A ordinary shares are also cancelled. No separate consideration is payable in connection with the cancellation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Agreement further provides that, (i) for a period of twelve (12) months from the date of the Supplemental Agreement, the Holder has a right of first refusal with respect to any future public or private offering of equity securities or convertible debt securities by the Company, with certain exemptions, and (ii) for a period of twelve (12) months from the date of the Supplemental Agreement, the Holder has a participation right with respect to any issuance of Class A Ordinary Shares or equivalents for cash, with certain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not a complete description of the Supplemental Agreement and is subject to, and is qualified by reference to, the full text and terms of the Supplemental Agreement, the form of which is filed as Exhibit 10.1 to this report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the Company issued a press release announcing the Supplemental Agreement. A copy of the press release announcing is furnished as Exhibit 99.1 hereto.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information contained in this Report on Form 6-K of the Company is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333-286705) as amended,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333-297406) and into the prospectus or prospectus supplement outstanding under the foregoing registration statements, to the extent not superseded by documents or reports subsequently filed or furnished by the Company under the Securities Act of 1933, as amended, or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180"/>
        <w:gridCol w:w="903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180" w:type="dxa"/>
            <w:tcBorders/>
            <w:tcMar>
              <w:bottom w:w="0" w:type="dxa"/>
            </w:tcMar>
            <w:vAlign w:val="center"/>
          </w:tcPr>
          <w:p>
            <w:pPr>
              <w:pStyle w:val="TableContents"/>
              <w:bidi w:val="0"/>
              <w:spacing w:before="0" w:after="283"/>
              <w:jc w:val="both"/>
              <w:rPr/>
            </w:pPr>
            <w:r>
              <w:rPr/>
              <w:t> </w:t>
            </w:r>
          </w:p>
        </w:tc>
        <w:tc>
          <w:tcPr>
            <w:tcW w:w="903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180" w:type="dxa"/>
            <w:tcBorders/>
            <w:tcMar>
              <w:bottom w:w="0" w:type="dxa"/>
            </w:tcMar>
            <w:vAlign w:val="center"/>
          </w:tcPr>
          <w:p>
            <w:pPr>
              <w:pStyle w:val="TableContents"/>
              <w:bidi w:val="0"/>
              <w:spacing w:before="0" w:after="283"/>
              <w:jc w:val="both"/>
              <w:rPr/>
            </w:pPr>
            <w:r>
              <w:rPr/>
              <w:t>   </w:t>
            </w:r>
          </w:p>
        </w:tc>
        <w:tc>
          <w:tcPr>
            <w:tcW w:w="9030" w:type="dxa"/>
            <w:tcBorders/>
            <w:tcMar>
              <w:bottom w:w="0" w:type="dxa"/>
            </w:tcMar>
            <w:vAlign w:val="center"/>
          </w:tcPr>
          <w:p>
            <w:pPr>
              <w:pStyle w:val="TableContents"/>
              <w:bidi w:val="0"/>
              <w:spacing w:before="0" w:after="283"/>
              <w:jc w:val="both"/>
              <w:rPr/>
            </w:pPr>
            <w:hyperlink w:anchor="yyghex10-1.htm">
              <w:r>
                <w:rPr>
                  <w:rStyle w:val="InternetLink"/>
                  <w:rFonts w:ascii="Times New Roman;Times;Serif" w:hAnsi="Times New Roman;Times;Serif"/>
                  <w:sz w:val="20"/>
                </w:rPr>
                <w:t>Form of Securities Purchase Agreement</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180" w:type="dxa"/>
            <w:tcBorders/>
            <w:tcMar>
              <w:bottom w:w="0" w:type="dxa"/>
            </w:tcMar>
            <w:vAlign w:val="center"/>
          </w:tcPr>
          <w:p>
            <w:pPr>
              <w:pStyle w:val="TableContents"/>
              <w:bidi w:val="0"/>
              <w:spacing w:before="0" w:after="283"/>
              <w:jc w:val="both"/>
              <w:rPr/>
            </w:pPr>
            <w:r>
              <w:rPr/>
              <w:t> </w:t>
            </w:r>
          </w:p>
        </w:tc>
        <w:tc>
          <w:tcPr>
            <w:tcW w:w="9030" w:type="dxa"/>
            <w:tcBorders/>
            <w:tcMar>
              <w:bottom w:w="0" w:type="dxa"/>
            </w:tcMar>
            <w:vAlign w:val="center"/>
          </w:tcPr>
          <w:p>
            <w:pPr>
              <w:pStyle w:val="TableContents"/>
              <w:bidi w:val="0"/>
              <w:spacing w:before="0" w:after="283"/>
              <w:jc w:val="both"/>
              <w:rPr/>
            </w:pPr>
            <w:hyperlink w:anchor="yyghex99-1.htm">
              <w:r>
                <w:rPr>
                  <w:rStyle w:val="InternetLink"/>
                  <w:rFonts w:ascii="Times New Roman;Times;Serif" w:hAnsi="Times New Roman;Times;Serif"/>
                  <w:sz w:val="20"/>
                </w:rPr>
                <w:t>Press release - YY Group Eliminates $5.94 Million Second Financing Tranche and Cancels All Outstanding Warrants, dated August 25,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865"/>
        <w:gridCol w:w="590"/>
        <w:gridCol w:w="1955"/>
      </w:tblGrid>
      <w:tr>
        <w:trPr/>
        <w:tc>
          <w:tcPr>
            <w:tcW w:w="1865" w:type="dxa"/>
            <w:tcBorders/>
            <w:vAlign w:val="center"/>
          </w:tcPr>
          <w:p>
            <w:pPr>
              <w:pStyle w:val="TableContents"/>
              <w:bidi w:val="0"/>
              <w:spacing w:before="0" w:after="283"/>
              <w:jc w:val="both"/>
              <w:rPr/>
            </w:pPr>
            <w:r>
              <w:rPr/>
              <w:t> </w:t>
            </w:r>
          </w:p>
        </w:tc>
        <w:tc>
          <w:tcPr>
            <w:tcW w:w="254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YY Group Holding Limited </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25, 2026</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Fu Xiaowei</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 Xiaowei</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yyghex99-1.htm"/>
      <w:bookmarkStart w:id="3" w:name="ksyygh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10287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28700" cy="6858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Eliminates $5.94 Million Second Financing Tranche and Cancels All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$5.94 million second tranche and all 11,284 outstanding warrants cancelled, reducing potential 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structure simplified, with remaining approximately $1.37 million balance to be repaid by year-end and no convertible debt or warrants outstanding thereafter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25, 2026 — YY Group Holding Limited (NASDAQ: YYGH) (“YY Group” or the “Company”), an AI-enabled workforce management platform and integrated facility management (IFM) provider operating across Asia and beyond, today announced that it entered into a Supplemental Agreement with the holder of its outstanding convertible promissory note (the “Holder”), effective August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Supplemental Agreement, the parties have cancelled the second tranche of the convertible note offering contemplated under the Securities Purchase Agreement entered into on February 27, 2026. The Supplemental Agreement also cancels, effective immediately and for no separate consideration, the Holder’s outstanding warrants to purchase up to 11,284 Class A ordinary shares issued in connection with the first tranche, eliminating the potential dilution associated with those warrants. Together, these actions reduce potential dilution and simplify the Company’s capital structure.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Under the Securities Purchase Agreement, the financing consisted of two tranches of convertible promissory notes with an aggregate principal face amount of up to $11,880,000. The initial tranche, consisting of notes with an aggregate principal amount of $5,940,000, closed on March 2, 2026, while the remaining $5,940,000 second tranche and related warrants will no longer be issued under the amended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first tranche has been repaid. Under the Supplemental Agreement, the Company has agreed to repay the remaining approximately $1.37 million balance no later than December 31, 2026. No further interest will accrue on that amount from the effective date of the Supplemental Agreement, subject to the agreement’s default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repayment in full of the remaining amount, all obligations of the parties under the convertible note will terminate and the parties will exchange mutual releases in accordance with the Supplemental Agreement. Following such repayment, the Company will have no convertible debt or warrants outstanding. The Supplemental Agreement also contains certain restrictions on the Company’s ability to conduct future 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Strengthening our capital structure and reducing potential dilution are important steps in creating long-term value for our shareholders,” said Mike Fu, Chief Executive Officer of YY Group. “We have repaid the majority of the initial tranche and expect to settle the remaining balance by the year-end deadline. Eliminating the second tranche and cancelling all outstanding warrants further simplifies our capital structure and reduces potential dilution. We remain focused on executing our growth strategy and creating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Supplemental Agreement is qualified in its entirety by reference to the full text of the agreement, which will be furnished as an exhibit to a Report of Foreign Private Issuer on Form 6-K to be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YY Group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 (Nasdaq: YYGH) is an AI-enabled workforce management platform and integrated facility management (IFM) provider, headquartered in Singapore and operating across Asia and beyond. The Company’s intelligent workforce solutions platform, YY Circle, helps clients across hospitality, food and beverage, retail, and other service sectors predict, plan, and optimize workforce deployment. In YY Group’s IFM business, its 24IFM software platform and comprehensive IFM subsidiary portfolio support clients across hospitality, transportation, banking, retail, and mixed-use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both business lines scale, the Company is systematically embedding AI and automation capabilities, progressing from intelligent decision support toward increasingly autonomous workforce management, to improve service quality, reduce deployment costs, and drive long-term margin expansion. Listed on the Nasdaq Capital Market, YY Group is committed to infrastructure innovation, measurable client outcomes, and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 Company bases these forward-looking statements on its expectations and projections about future events, which the Company derives from the information currently available to it.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Forward-looking statements involve inherent risks and uncertainties, and the forward-looking events discussed in this press release may not occur, and actual events and results may differ materially and are subject to risks, uncertainties, and assumptions about the Company and a number of factors. These factors include, but are not limited to, the Company’s goals and strategies; the Company’s future business development, financial condition and results of operations, including the introduction of new products and services, expected changes in the Company’s revenues, costs and expenditures, anticipated customer growth, and demand for and market acceptance of the Company’s products and services; and industry, market and regulatory conditions, including competition, government policies and regulations affecting the Company’s industry, and other factors that may affect the Company’s financial condition, liquidity and results of operations. For a more detailed discussion of risk factors, please refer to the Company’s filings with the Securities and Exchange Commission, including the “Risk Factors” section of the Company’s most recent annual report on Form 20-F,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Zhi Yong Phua, 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enquiries@yygroupholding.com</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yyghex10-1.htm"/>
      <w:bookmarkStart w:id="5" w:name="ksyyghex101"/>
      <w:bookmarkEnd w:id="4"/>
      <w:bookmarkEnd w:id="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the 20th day of August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between YY Group Holding Limited, a British Virgin Islands business company registered with company number 2118556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holder of the Convertible Note (as defined below)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with reference to the following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 previously acquired that certain 8% OID convertible promissory note of the Company dated March 2, 2026, in the aggregate principal face amount of $5,940,000 and convertible into Class A ordinary shares of the Company (the “</w:t>
      </w:r>
      <w:r>
        <w:rPr>
          <w:rFonts w:ascii="Times New Roman;Times;Serif" w:hAnsi="Times New Roman;Times;Serif"/>
          <w:b/>
          <w:i w:val="false"/>
          <w:caps w:val="false"/>
          <w:smallCaps w:val="false"/>
          <w:sz w:val="20"/>
        </w:rPr>
        <w:t>Convertible Note</w:t>
      </w:r>
      <w:r>
        <w:rPr>
          <w:rFonts w:ascii="Times New Roman;Times;Serif" w:hAnsi="Times New Roman;Times;Serif"/>
          <w:b w:val="false"/>
          <w:i w:val="false"/>
          <w:caps w:val="false"/>
          <w:smallCaps w:val="false"/>
          <w:sz w:val="20"/>
        </w:rPr>
        <w:t>”), and that certain warrants to purchase Class A ordinary shares of the Company at the initial closing pursuant to that certain Securities Purchase Agreement, dated as of February 27, 2026, by and among the Company, the Holder in its capacity as the Holder thereunder and the other purchasers party thereto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Subsequent to the initial closing, (i) on March 23, 2026, the Company effected a reverse share split of the Company’s Class A ordinary shares at a ratio of 1-for-50 (the “</w:t>
      </w:r>
      <w:r>
        <w:rPr>
          <w:rFonts w:ascii="Times New Roman;Times;Serif" w:hAnsi="Times New Roman;Times;Serif"/>
          <w:b/>
          <w:i w:val="false"/>
          <w:caps w:val="false"/>
          <w:smallCaps w:val="false"/>
          <w:sz w:val="20"/>
        </w:rPr>
        <w:t>March Reverse Share Split</w:t>
      </w:r>
      <w:r>
        <w:rPr>
          <w:rFonts w:ascii="Times New Roman;Times;Serif" w:hAnsi="Times New Roman;Times;Serif"/>
          <w:b w:val="false"/>
          <w:i w:val="false"/>
          <w:caps w:val="false"/>
          <w:smallCaps w:val="false"/>
          <w:sz w:val="20"/>
        </w:rPr>
        <w:t>”), as a result of which the “Floor Price” of the Notes issued pursuant to the Purchase Agreement (including the Convertible Note) was adjusted from $0.092 per share to $4.60 per share, and (ii) on June 23, 2026, the Company effected a second reverse share split of the Company’s Class A ordinary shares at a ratio of 1-for-30 (the “</w:t>
      </w:r>
      <w:r>
        <w:rPr>
          <w:rFonts w:ascii="Times New Roman;Times;Serif" w:hAnsi="Times New Roman;Times;Serif"/>
          <w:b/>
          <w:i w:val="false"/>
          <w:caps w:val="false"/>
          <w:smallCaps w:val="false"/>
          <w:sz w:val="20"/>
        </w:rPr>
        <w:t>June Reverse Share Split</w:t>
      </w:r>
      <w:r>
        <w:rPr>
          <w:rFonts w:ascii="Times New Roman;Times;Serif" w:hAnsi="Times New Roman;Times;Serif"/>
          <w:b w:val="false"/>
          <w:i w:val="false"/>
          <w:caps w:val="false"/>
          <w:smallCaps w:val="false"/>
          <w:sz w:val="20"/>
        </w:rPr>
        <w:t>”), as a result of which the “Floor Price” of the Notes issued pursuant to the Purchase Agreement (including the Convertible Note) was adjusted from $4.60 per share to $138.00 per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a result, a “Floor Price Event” under the Convertible Note occurred, and pursuant to Section 9 of the Convertible Note, the Holder has required the Company to redeem its obligations under the Convertible Note in an aggregate amount equal to $6,794,775.79 (reflecting the redemption of the entire principal amount of the Note plus accrued interest multiplied by the 125% Redemption Premium) (the “</w:t>
      </w:r>
      <w:r>
        <w:rPr>
          <w:rFonts w:ascii="Times New Roman;Times;Serif" w:hAnsi="Times New Roman;Times;Serif"/>
          <w:b/>
          <w:i w:val="false"/>
          <w:caps w:val="false"/>
          <w:smallCaps w:val="false"/>
          <w:sz w:val="20"/>
        </w:rPr>
        <w:t>Redemption Amount</w:t>
      </w:r>
      <w:r>
        <w:rPr>
          <w:rFonts w:ascii="Times New Roman;Times;Serif" w:hAnsi="Times New Roman;Times;Serif"/>
          <w:b w:val="false"/>
          <w:i w:val="false"/>
          <w:caps w:val="false"/>
          <w:smallCaps w:val="false"/>
          <w:sz w:val="20"/>
        </w:rPr>
        <w:t>”), of which the Company has paid the Holder $5,428,323.29 in cash prior to the date of this Agreement. Accordingly, as of the date hereof, the remaining outstanding portion of the Redemption Amount (and the current amount outstanding under the Convertible Note), after the application of the Company’s prior payments is equal to $1,366,452.50 (the “</w:t>
      </w:r>
      <w:r>
        <w:rPr>
          <w:rFonts w:ascii="Times New Roman;Times;Serif" w:hAnsi="Times New Roman;Times;Serif"/>
          <w:b/>
          <w:i w:val="false"/>
          <w:caps w:val="false"/>
          <w:smallCaps w:val="false"/>
          <w:sz w:val="20"/>
        </w:rPr>
        <w:t>Remaining Redemption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Purchase Agreement contemplated a Second Tranche Closing(as defined in the Purchase Agreement), which the parties now desire to cancel.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of this Agreement, the Holder holds warrants to purchase up to 11,284 Class A ordinary shares of the Company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which the parties now desire to cancel.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parties desire to amend and supplement certain terms of the Purchase Agreement and to memorialize certain additional agreements between them, on the terms and conditions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mutual covenants hereinafter contained,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but not otherwise defined herein shall have the meanings set forth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Cancellation of Second Tranche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The Second Tranche Closing under the Purchase Agreement is hereby cancelled and shall be of no further force or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Further Obligation</w:t>
      </w:r>
      <w:r>
        <w:rPr>
          <w:rFonts w:ascii="Times New Roman;Times;Serif" w:hAnsi="Times New Roman;Times;Serif"/>
          <w:b w:val="false"/>
          <w:i w:val="false"/>
          <w:caps w:val="false"/>
          <w:smallCaps w:val="false"/>
          <w:sz w:val="20"/>
        </w:rPr>
        <w:t>. The Company acknowledges and agrees that the Holder shall have no obligation to purchase any additional securities of the Company under the Purchase Agreement relating to the Second Tranche Closing, and the Holder acknowledges and agrees that the Company shall have no obligation to sell any additional securities to the Holder in connection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Mutual Release</w:t>
      </w:r>
      <w:r>
        <w:rPr>
          <w:rFonts w:ascii="Times New Roman;Times;Serif" w:hAnsi="Times New Roman;Times;Serif"/>
          <w:b w:val="false"/>
          <w:i w:val="false"/>
          <w:caps w:val="false"/>
          <w:smallCaps w:val="false"/>
          <w:sz w:val="20"/>
        </w:rPr>
        <w:t>. Each party hereby releases and forever discharges the other party and its respective affiliates, officers, directors, employees, agents, successors and assigns from any and all claims, demands, obligations, liabilities, causes of action and damages of any kind or nature, whether known or unknown, arising out of or relating to the Second Tranche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Amendment of Purchase Agreement</w:t>
      </w:r>
      <w:r>
        <w:rPr>
          <w:rFonts w:ascii="Times New Roman;Times;Serif" w:hAnsi="Times New Roman;Times;Serif"/>
          <w:b w:val="false"/>
          <w:i w:val="false"/>
          <w:caps w:val="false"/>
          <w:smallCaps w:val="false"/>
          <w:sz w:val="20"/>
        </w:rPr>
        <w:t>. The Purchase Agreement is hereby amended to delete all references to the Second Tranche Closing and the obligations of the parties related thereto, and such provisions shall be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Cancellation of Warrants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Effective as of the Effective Date, the Warrants are hereby cancelled in their entirety and shall be of no further force or effect. Neither the Holder nor any other Person shall have any right to exercise the Warrants or to acquire any Class A ordinary shares of the Company pursuant thereto from and after the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w:t>
      </w:r>
      <w:r>
        <w:rPr>
          <w:rFonts w:ascii="Times New Roman;Times;Serif" w:hAnsi="Times New Roman;Times;Serif"/>
          <w:b w:val="false"/>
          <w:i w:val="false"/>
          <w:caps w:val="false"/>
          <w:smallCaps w:val="false"/>
          <w:sz w:val="20"/>
        </w:rPr>
        <w:t>. Within five (5) Business Days following the Effective Date, the Holder shall surrender to the Company (or its designated transfer agent) the original warrant certificate(s) or other instrument(s) evidencing the Warrants, or, in the event that such certificate(s) or instrument(s) have been lost, stolen or destroyed, a lost instrument affidavit and indemnity in form and substance reasonably satisfactory to the Company. Upon such surrender (or delivery of such affidavit and indemnity), the Company shall cancel the Warrants on its books and records.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Release of Obligations</w:t>
      </w:r>
      <w:r>
        <w:rPr>
          <w:rFonts w:ascii="Times New Roman;Times;Serif" w:hAnsi="Times New Roman;Times;Serif"/>
          <w:b w:val="false"/>
          <w:i w:val="false"/>
          <w:caps w:val="false"/>
          <w:smallCaps w:val="false"/>
          <w:sz w:val="20"/>
        </w:rPr>
        <w:t xml:space="preserve">. Each party hereby releases and forever discharges the other party and its respective affiliates, officers, directors, employees, agents, successors and assigns from any and all claims, demands, obligations, liabilities, causes of action and damages of any kind or nature, whether known or unknown, arising out of or relating to the Warrants, including without limitation any claims relating to the issuance, exercise, adjustment or cancellation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release shall not apply to any claims arising from fraud or willful misconduct.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Consideration</w:t>
      </w:r>
      <w:r>
        <w:rPr>
          <w:rFonts w:ascii="Times New Roman;Times;Serif" w:hAnsi="Times New Roman;Times;Serif"/>
          <w:b w:val="false"/>
          <w:i w:val="false"/>
          <w:caps w:val="false"/>
          <w:smallCaps w:val="false"/>
          <w:sz w:val="20"/>
        </w:rPr>
        <w:t>. The Holder acknowledges and agrees that no separate consideration shall be due or payable by the Company to the Holder in connection with the cancellation of the Warrants, and that the mutual covenants and agreements set forth in this Agreement constitute sufficient consideration for such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Repayment of Convertible Note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Repayment Obligation</w:t>
      </w:r>
      <w:r>
        <w:rPr>
          <w:rFonts w:ascii="Times New Roman;Times;Serif" w:hAnsi="Times New Roman;Times;Serif"/>
          <w:b w:val="false"/>
          <w:i w:val="false"/>
          <w:caps w:val="false"/>
          <w:smallCaps w:val="false"/>
          <w:sz w:val="20"/>
        </w:rPr>
        <w:t>. The Company hereby agrees to repay the Remaining Redemption Amount in full to the Holder no later than December 31, 2026 (the “</w:t>
      </w:r>
      <w:r>
        <w:rPr>
          <w:rFonts w:ascii="Times New Roman;Times;Serif" w:hAnsi="Times New Roman;Times;Serif"/>
          <w:b/>
          <w:i w:val="false"/>
          <w:caps w:val="false"/>
          <w:smallCaps w:val="false"/>
          <w:sz w:val="20"/>
        </w:rPr>
        <w:t>Repayment Date</w:t>
      </w:r>
      <w:r>
        <w:rPr>
          <w:rFonts w:ascii="Times New Roman;Times;Serif" w:hAnsi="Times New Roman;Times;Serif"/>
          <w:b w:val="false"/>
          <w:i w:val="false"/>
          <w:caps w:val="false"/>
          <w:smallCaps w:val="false"/>
          <w:sz w:val="20"/>
        </w:rPr>
        <w:t>”) by wire transfer of immediately available funds to an account designated by the Holder in writing not less than three (3) Business Days prior to such payment. In the event the Holder fails to provide such account designation in a timely manner, the Company shall not be deemed in breach of its repayment obligation hereunder, and the Repayment Date shall be extended day-for-day until the third (3rd) Business Day following the Company’s receipt of such account designation. The parties acknowledge and agree that no further interest shall accrue on such amount from and after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The Company may prepay the Remaining Redemption Amount, in whole or in part, at any time without penalty or premium.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Repayment from ATM Proceeds</w:t>
      </w:r>
      <w:r>
        <w:rPr>
          <w:rFonts w:ascii="Times New Roman;Times;Serif" w:hAnsi="Times New Roman;Times;Serif"/>
          <w:b w:val="false"/>
          <w:i w:val="false"/>
          <w:caps w:val="false"/>
          <w:smallCaps w:val="false"/>
          <w:sz w:val="20"/>
        </w:rPr>
        <w:t>. In the event the Company receives any proceeds from sales of Class A Ordinary Shares pursuant to an at-the-market (“</w:t>
      </w:r>
      <w:r>
        <w:rPr>
          <w:rFonts w:ascii="Times New Roman;Times;Serif" w:hAnsi="Times New Roman;Times;Serif"/>
          <w:b/>
          <w:i w:val="false"/>
          <w:caps w:val="false"/>
          <w:smallCaps w:val="false"/>
          <w:sz w:val="20"/>
        </w:rPr>
        <w:t>ATM</w:t>
      </w:r>
      <w:r>
        <w:rPr>
          <w:rFonts w:ascii="Times New Roman;Times;Serif" w:hAnsi="Times New Roman;Times;Serif"/>
          <w:b w:val="false"/>
          <w:i w:val="false"/>
          <w:caps w:val="false"/>
          <w:smallCaps w:val="false"/>
          <w:sz w:val="20"/>
        </w:rPr>
        <w:t>”) offering program, the Company shall, within five (5) Business Days of receipt of such proceeds, apply an amount equal to fifty percent (50%) of the gross proceeds received from such ATM sales (after deduction of reasonable and customary transaction costs, commissions, and expenses actually paid to unaffiliated third parties in connection with such financing) toward repayment of the Remaining Redemption Amount until such time as the Remaining Redemption Amount has been repaid in full. The Company shall not establish an ATM in any amount exceeding $20 Million absent the Holder’s express prior written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Mandatory Repayment from Other Financing Proceeds</w:t>
      </w:r>
      <w:r>
        <w:rPr>
          <w:rFonts w:ascii="Times New Roman;Times;Serif" w:hAnsi="Times New Roman;Times;Serif"/>
          <w:b w:val="false"/>
          <w:i w:val="false"/>
          <w:caps w:val="false"/>
          <w:smallCaps w:val="false"/>
          <w:sz w:val="20"/>
        </w:rPr>
        <w:t>. In the event the Company or any of its Subsidiaries enters into any Subsequent Financing (as defined below) resulting in the receipt of cash proceeds by the Company, the Company shall, within five (5) Business Days of receipt of such proceeds, apply an amount equal to fifty percent (50%) of the net proceeds (after deduction of reasonable and customary transaction costs, commissions, and expenses actually paid to unaffiliated third parties in connection with such financing) toward repayment of the Remaining Redemption Amount until such time as the Remaining Redemption Amount has been repaid in full. For the avoidance of doubt, this Section 4(d) shall not apply to proceeds received from Exempt Issuances (as defined in Section 7(a)).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If the Company fails to pay the Remaining Redemption Amount in full on or before the Repayment Date, the Holder shall provide written notice of such failure to the Company (a “Default Notice”). If the Company fails to cure such payment default within five (5) Business Days following receipt of such Default Notice (the “Cure Period”), such failure shall constitute an Event of Default (as defined in the Convertible Note) and the Holder shall be entitled to all remedies available under the Convertible Note, the Purchase Agreement, and applicable law, including without limitation the right to receive interest on the unpaid amount at the default rate in an amount of 25%,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Termination of Convertible Note Obligations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Automatic Termination</w:t>
      </w:r>
      <w:r>
        <w:rPr>
          <w:rFonts w:ascii="Times New Roman;Times;Serif" w:hAnsi="Times New Roman;Times;Serif"/>
          <w:b w:val="false"/>
          <w:i w:val="false"/>
          <w:caps w:val="false"/>
          <w:smallCaps w:val="false"/>
          <w:sz w:val="20"/>
        </w:rPr>
        <w:t>. Upon the repayment in full of the Remaining Redemption Amount in accordance with Section 4 of this Agreement (the date of such repayment in full, the “</w:t>
      </w:r>
      <w:r>
        <w:rPr>
          <w:rFonts w:ascii="Times New Roman;Times;Serif" w:hAnsi="Times New Roman;Times;Serif"/>
          <w:b/>
          <w:i w:val="false"/>
          <w:caps w:val="false"/>
          <w:smallCaps w:val="false"/>
          <w:sz w:val="20"/>
        </w:rPr>
        <w:t>Note Termination Date</w:t>
      </w:r>
      <w:r>
        <w:rPr>
          <w:rFonts w:ascii="Times New Roman;Times;Serif" w:hAnsi="Times New Roman;Times;Serif"/>
          <w:b w:val="false"/>
          <w:i w:val="false"/>
          <w:caps w:val="false"/>
          <w:smallCaps w:val="false"/>
          <w:sz w:val="20"/>
        </w:rPr>
        <w:t>”), all obligations of the parties under the Convertible Note shall automatically and without further action by either party terminate and be of no further force or effect, and neither party shall have any further rights or obligations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Effective as of the Note Termination Date, each party hereby releases and discharges the other party and its respective affiliates, officers, directors, employees, agents, successors and assigns from any and all claims, demands, obligations, liabilities, causes of action and damages of any kind or nature, whether known or unknown, arising out of or relating to the Convertible Note, including without limitation any claims relating to the issuance, conversion, redemption, repayment or enforcement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release shall not apply to (i) any obligations arising under this Agreement that by their terms survive the Note Termination Date, or (ii) any claims arising from fraud or willful misconduct.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Return of Convertible Note</w:t>
      </w:r>
      <w:r>
        <w:rPr>
          <w:rFonts w:ascii="Times New Roman;Times;Serif" w:hAnsi="Times New Roman;Times;Serif"/>
          <w:b w:val="false"/>
          <w:i w:val="false"/>
          <w:caps w:val="false"/>
          <w:smallCaps w:val="false"/>
          <w:sz w:val="20"/>
        </w:rPr>
        <w:t>. Within five (5) Business Days following the Note Termination Date, the Holder shall surrender to the Company the original Convertible Note (or, in the event that the original Convertible Note has been lost, stolen or destroyed, a lost instrument affidavit and indemnity in form and substance reasonably satisfactory to the Company). Upon such surrender (or delivery of such affidavit and indemnity), the Company shall mark the Convertible Note as “Paid in Full” and “Cancelled” on its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Right of First Refusal</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rPr>
      </w:pPr>
      <w:r>
        <w:rPr>
          <w:caps/>
        </w:rPr>
        <w:t> </w:t>
      </w:r>
    </w:p>
    <w:p>
      <w:pPr>
        <w:pStyle w:val="TextBody"/>
        <w:bidi w:val="0"/>
        <w:spacing w:before="0" w:after="0"/>
        <w:ind w:left="720" w:right="0" w:hanging="0"/>
        <w:jc w:val="both"/>
        <w:rPr>
          <w:rFonts w:ascii="Times New Roman;Times;Serif" w:hAnsi="Times New Roman;Times;Serif"/>
          <w:b/>
          <w:i w:val="false"/>
          <w:caps/>
          <w:sz w:val="20"/>
        </w:rPr>
      </w:pPr>
      <w:r>
        <w:rPr>
          <w:rFonts w:ascii="Times New Roman;Times;Serif" w:hAnsi="Times New Roman;Times;Serif"/>
          <w:b w:val="false"/>
          <w:i w:val="false"/>
          <w:caps/>
          <w:sz w:val="20"/>
        </w:rPr>
        <w:t>Until the date that is twelve (12) months following the date of this Agreement, the Company grants the Holder a right of first refusal (a “</w:t>
      </w:r>
      <w:r>
        <w:rPr>
          <w:rFonts w:ascii="Times New Roman;Times;Serif" w:hAnsi="Times New Roman;Times;Serif"/>
          <w:b/>
          <w:i w:val="false"/>
          <w:caps/>
          <w:sz w:val="20"/>
        </w:rPr>
        <w:t>Right of First Refusal”</w:t>
      </w:r>
      <w:r>
        <w:rPr>
          <w:rFonts w:ascii="Times New Roman;Times;Serif" w:hAnsi="Times New Roman;Times;Serif"/>
          <w:b w:val="false"/>
          <w:i w:val="false"/>
          <w:caps/>
          <w:sz w:val="20"/>
        </w:rPr>
        <w:t>) with respect to any investment proposed to be made by another investor for each and every future public or private equity offering, including a debt instrument convertible into equity of the Company during such period (an “</w:t>
      </w:r>
      <w:r>
        <w:rPr>
          <w:rFonts w:ascii="Times New Roman;Times;Serif" w:hAnsi="Times New Roman;Times;Serif"/>
          <w:b/>
          <w:i w:val="false"/>
          <w:caps/>
          <w:sz w:val="20"/>
        </w:rPr>
        <w:t>ROFR Offering”</w:t>
      </w:r>
      <w:r>
        <w:rPr>
          <w:rFonts w:ascii="Times New Roman;Times;Serif" w:hAnsi="Times New Roman;Times;Serif"/>
          <w:b w:val="false"/>
          <w:i w:val="false"/>
          <w:caps/>
          <w:sz w:val="20"/>
        </w:rPr>
        <w:t>); provided, however, that the Right of First Refusal shall not apply to Exempt Issuances (as defined in Section 7(a)). At least two (2) Business Days prior to any proposed ROFR Offering, the Company shall deliver to the Holder a written notice (an “</w:t>
      </w:r>
      <w:r>
        <w:rPr>
          <w:rFonts w:ascii="Times New Roman;Times;Serif" w:hAnsi="Times New Roman;Times;Serif"/>
          <w:b/>
          <w:i w:val="false"/>
          <w:caps/>
          <w:sz w:val="20"/>
        </w:rPr>
        <w:t>ROFR Pre-Notice”</w:t>
      </w:r>
      <w:r>
        <w:rPr>
          <w:rFonts w:ascii="Times New Roman;Times;Serif" w:hAnsi="Times New Roman;Times;Serif"/>
          <w:b w:val="false"/>
          <w:i w:val="false"/>
          <w:caps/>
          <w:sz w:val="20"/>
        </w:rPr>
        <w:t>) stating that the Company proposes or intends to pursue an ROFR Offering. Upon the written request of the Holder within two (2) Business Days after receipt of the ROFR Pre-Notice, the Company shall promptly, but no later than one (1) Business Day after such request, deliver to the Holder a written notice (the “</w:t>
      </w:r>
      <w:r>
        <w:rPr>
          <w:rFonts w:ascii="Times New Roman;Times;Serif" w:hAnsi="Times New Roman;Times;Serif"/>
          <w:b/>
          <w:i w:val="false"/>
          <w:caps/>
          <w:sz w:val="20"/>
        </w:rPr>
        <w:t>ROFR Notice”</w:t>
      </w:r>
      <w:r>
        <w:rPr>
          <w:rFonts w:ascii="Times New Roman;Times;Serif" w:hAnsi="Times New Roman;Times;Serif"/>
          <w:b w:val="false"/>
          <w:i w:val="false"/>
          <w:caps/>
          <w:sz w:val="20"/>
        </w:rPr>
        <w:t>) describing the material terms of the ROFR Offering. If the Holder fails to accept in writing any such proposal for such ROFR Offering within two (2) Business Days after receipt of the ROFR Notice (the “</w:t>
      </w:r>
      <w:r>
        <w:rPr>
          <w:rFonts w:ascii="Times New Roman;Times;Serif" w:hAnsi="Times New Roman;Times;Serif"/>
          <w:b/>
          <w:i w:val="false"/>
          <w:caps/>
          <w:sz w:val="20"/>
        </w:rPr>
        <w:t>ROFR Exercise Period”</w:t>
      </w:r>
      <w:r>
        <w:rPr>
          <w:rFonts w:ascii="Times New Roman;Times;Serif" w:hAnsi="Times New Roman;Times;Serif"/>
          <w:b w:val="false"/>
          <w:i w:val="false"/>
          <w:caps/>
          <w:sz w:val="20"/>
        </w:rPr>
        <w:t xml:space="preserve">), then the Holder will have no claim or right with respect to such ROFR Offering, and the Company may proceed to consummate such ROFR Offering with other investors on terms not more favorable to the acquiring Person(s) than those set forth in the ROFR Notice, without any time limitation; provided that, if such ROFR Offering is modified in any material respect, the Company shall deliver a new ROFR Pre-Notice and the procedures set forth in this Section 6 shall again apply. If the Holder elects to exercise the Right of First Refusal, the Holder shall cause the ROFR Offering to be completed within seven (7) Business Days following the expiration of the ROFR Exercise Period. The Holder may elect to exercise the Right of First Refusal with respect to less than all of the securities offered in the ROFR Offering, in which case the Company may consummate the ROFR Offering with third parties with respect to the remaining securities on the terms set forth in the ROFR Notice.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Participation Right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Until the date that is twelve (12) months following the date of this Agreement, the Company shall not, directly or indirectly, effect any Subsequent Financing (defined below) unless the Company shall have first complied with this Section 7. “</w:t>
      </w:r>
      <w:r>
        <w:rPr>
          <w:rFonts w:ascii="Times New Roman;Times;Serif" w:hAnsi="Times New Roman;Times;Serif"/>
          <w:b/>
          <w:i w:val="false"/>
          <w:caps w:val="false"/>
          <w:smallCaps w:val="false"/>
          <w:sz w:val="20"/>
        </w:rPr>
        <w:t>Subsequent Financing</w:t>
      </w:r>
      <w:r>
        <w:rPr>
          <w:rFonts w:ascii="Times New Roman;Times;Serif" w:hAnsi="Times New Roman;Times;Serif"/>
          <w:b w:val="false"/>
          <w:i w:val="false"/>
          <w:caps w:val="false"/>
          <w:smallCaps w:val="false"/>
          <w:sz w:val="20"/>
        </w:rPr>
        <w:t>” means any issuance by the Company of Class A Ordinary Shares or Class A Ordinary Share Equivalents (as defined below) for cash consideration or a combination of units thereof, other than an Exempt Issuance. “</w:t>
      </w:r>
      <w:r>
        <w:rPr>
          <w:rFonts w:ascii="Times New Roman;Times;Serif" w:hAnsi="Times New Roman;Times;Serif"/>
          <w:b/>
          <w:i w:val="false"/>
          <w:caps w:val="false"/>
          <w:smallCaps w:val="false"/>
          <w:sz w:val="20"/>
        </w:rPr>
        <w:t>Class A Ordinary Share Equivalents</w:t>
      </w:r>
      <w:r>
        <w:rPr>
          <w:rFonts w:ascii="Times New Roman;Times;Serif" w:hAnsi="Times New Roman;Times;Serif"/>
          <w:b w:val="false"/>
          <w:i w:val="false"/>
          <w:caps w:val="false"/>
          <w:smallCaps w:val="false"/>
          <w:sz w:val="20"/>
        </w:rPr>
        <w:t>” means any securities of the Company which would entitle the holder thereof to acquire at any time Class A Ordinary Shares, including, without limitation, any debt, preferred stock, right, option, warrant or other instrument that is at any time convertible into or exercisable or exchangeable for, or otherwise entitles the holder thereof to receive, Class A Ordinary Shares. “</w:t>
      </w:r>
      <w:r>
        <w:rPr>
          <w:rFonts w:ascii="Times New Roman;Times;Serif" w:hAnsi="Times New Roman;Times;Serif"/>
          <w:b/>
          <w:i w:val="false"/>
          <w:caps w:val="false"/>
          <w:smallCaps w:val="false"/>
          <w:sz w:val="20"/>
        </w:rPr>
        <w:t>Exempt Issuance</w:t>
      </w:r>
      <w:r>
        <w:rPr>
          <w:rFonts w:ascii="Times New Roman;Times;Serif" w:hAnsi="Times New Roman;Times;Serif"/>
          <w:b w:val="false"/>
          <w:i w:val="false"/>
          <w:caps w:val="false"/>
          <w:smallCaps w:val="false"/>
          <w:sz w:val="20"/>
        </w:rPr>
        <w:t>” means any issuance of Ordinary Shares or Ordinary Share Equivalents by the Company or any of its Subsidiaries in connection with: (a) shares or options issued to employees, officers, consultants or directors of the Company pursuant to any stock or option plan or other equity compensation arrangement duly adopted for such purpose by a majority of the non-employee members of the Board of Directors of the Company or a majority of the members of a committee of non-employee directors established for such purpose, or shares registered on Form S-8; (b) securities issued upon the exercise or conversion of any securities that are outstanding on the date of this Agreement; (c) securities issued pursuant to acquisitions or strategic transactions approved by a majority of the disinterested directors of the Company, provided that any such issuance shall only be to a Person (or the stockholders of such Person) that is, itself or through its subsidiaries, an operating company or an owner of assets in a business synergistic with the business of the Company and provided that such securities are issued as “restricted securities” (as defined in Rule 144 promulgated under the Securities Act); and (d) shares issued pursuant to an ATM offering program.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least two (2) Business Days prior to any proposed or intended Subsequent Financing, the Company shall deliver to the Holder a written notice (each such notice, a “</w:t>
      </w:r>
      <w:r>
        <w:rPr>
          <w:rFonts w:ascii="Times New Roman;Times;Serif" w:hAnsi="Times New Roman;Times;Serif"/>
          <w:b/>
          <w:i w:val="false"/>
          <w:caps w:val="false"/>
          <w:smallCaps w:val="false"/>
          <w:sz w:val="20"/>
        </w:rPr>
        <w:t>Pre-Notice</w:t>
      </w:r>
      <w:r>
        <w:rPr>
          <w:rFonts w:ascii="Times New Roman;Times;Serif" w:hAnsi="Times New Roman;Times;Serif"/>
          <w:b w:val="false"/>
          <w:i w:val="false"/>
          <w:caps w:val="false"/>
          <w:smallCaps w:val="false"/>
          <w:sz w:val="20"/>
        </w:rPr>
        <w:t>”), which Pre-Notice shall not contain any information (including, without limitation, material, non-public information) other than: (A) if the proposed Offer Notice (as defined below) constitutes or contains material, non-public information, a statement asking whether the Holder is willing to accept material non-public information or (B) if the proposed Offer Notice does not constitute or contain material, non-public information, (x) a statement that the Company proposes or intends to effect a Subsequent Financing, (y) a statement that the statement in clause (x) above does not constitute material, non-public information and (z) a statement informing the Holder that it is entitled to receive an Offer Notice (as defined below) with respect to such Subsequent Financing upon its written request. Upon the written request of the Holder within two (2) Business Days after the Company's delivery to the Holder of such Pre-Notice, and only upon a written request by the Holder, the Company shall promptly, but no later than one (1) Business Day after such request, deliver to the Holder an irrevocable written notice (the “</w:t>
      </w:r>
      <w:r>
        <w:rPr>
          <w:rFonts w:ascii="Times New Roman;Times;Serif" w:hAnsi="Times New Roman;Times;Serif"/>
          <w:b/>
          <w:i w:val="false"/>
          <w:caps w:val="false"/>
          <w:smallCaps w:val="false"/>
          <w:sz w:val="20"/>
        </w:rPr>
        <w:t>Offer Notice</w:t>
      </w:r>
      <w:r>
        <w:rPr>
          <w:rFonts w:ascii="Times New Roman;Times;Serif" w:hAnsi="Times New Roman;Times;Serif"/>
          <w:b w:val="false"/>
          <w:i w:val="false"/>
          <w:caps w:val="false"/>
          <w:smallCaps w:val="false"/>
          <w:sz w:val="20"/>
        </w:rPr>
        <w:t>”) of any proposed or intended issuance or sale or exchange (the “</w:t>
      </w:r>
      <w:r>
        <w:rPr>
          <w:rFonts w:ascii="Times New Roman;Times;Serif" w:hAnsi="Times New Roman;Times;Serif"/>
          <w:b/>
          <w:i w:val="false"/>
          <w:caps w:val="false"/>
          <w:smallCaps w:val="false"/>
          <w:sz w:val="20"/>
        </w:rPr>
        <w:t>Offer</w:t>
      </w:r>
      <w:r>
        <w:rPr>
          <w:rFonts w:ascii="Times New Roman;Times;Serif" w:hAnsi="Times New Roman;Times;Serif"/>
          <w:b w:val="false"/>
          <w:i w:val="false"/>
          <w:caps w:val="false"/>
          <w:smallCaps w:val="false"/>
          <w:sz w:val="20"/>
        </w:rPr>
        <w:t>”) of the securities being offered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in a Subsequent Financing,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or exchange with the Holder in accordance with the terms of the Offer 100% of the Offered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accept an Offer, in whole or in part, the Holder must deliver a written notice to the Company prior to the end of the second (2nd) Business Day after the Holder's receipt of the Offer Notice (the “</w:t>
      </w:r>
      <w:r>
        <w:rPr>
          <w:rFonts w:ascii="Times New Roman;Times;Serif" w:hAnsi="Times New Roman;Times;Serif"/>
          <w:b/>
          <w:i w:val="false"/>
          <w:caps w:val="false"/>
          <w:smallCaps w:val="false"/>
          <w:sz w:val="20"/>
        </w:rPr>
        <w:t>Offer Period</w:t>
      </w:r>
      <w:r>
        <w:rPr>
          <w:rFonts w:ascii="Times New Roman;Times;Serif" w:hAnsi="Times New Roman;Times;Serif"/>
          <w:b w:val="false"/>
          <w:i w:val="false"/>
          <w:caps w:val="false"/>
          <w:smallCaps w:val="false"/>
          <w:sz w:val="20"/>
        </w:rPr>
        <w:t>”), setting forth the amount of the Offered Securities that the Holder elects to purchase (the “</w:t>
      </w:r>
      <w:r>
        <w:rPr>
          <w:rFonts w:ascii="Times New Roman;Times;Serif" w:hAnsi="Times New Roman;Times;Serif"/>
          <w:b/>
          <w:i w:val="false"/>
          <w:caps w:val="false"/>
          <w:smallCaps w:val="false"/>
          <w:sz w:val="20"/>
        </w:rPr>
        <w:t>Notice of Acceptance</w:t>
      </w:r>
      <w:r>
        <w:rPr>
          <w:rFonts w:ascii="Times New Roman;Times;Serif" w:hAnsi="Times New Roman;Times;Serif"/>
          <w:b w:val="false"/>
          <w:i w:val="false"/>
          <w:caps w:val="false"/>
          <w:smallCaps w:val="false"/>
          <w:sz w:val="20"/>
        </w:rPr>
        <w:t>”). Notwithstanding the foregoing, if the Company desires to modify or amend the terms and conditions of the Offer prior to the expiration of the Offer Period, the Company may deliver to the Holder a new Offer Notice and the Offer Period shall expire on the first (1st) Business Day after the Holder's receipt of such new Offer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Holder does not deliver a Notice of Acceptance by the expiration of the Offer Period, the Company may offer, issue, sell or exchange all or any part of such Offered Securities as to which a Notice of Acceptance has not been given by the Holder (the “Refused Securities”) pursuant to a definitive agreement(s) (the “Subsequent Financing Agreement”) without any time limitation,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Financing Agreement, and (y) either (I) the consummation of the transactions contemplated by such Subsequent Financing Agreement or (II) the termination of such Subsequent Financing Agreement, which shall be filed with the SEC on a Report of Foreign Private Issuer on Form 6-K with such Subsequent Financing Agreement and any documents contemplated therein filed as exhibits thereto. If the Holder delivers a Notice of Acceptance, the Holder shall cause the Subsequent Financing to be completed within seven (7) Business Days following the expiration of the Offer Period. If the Holder delivers a Notice of Acceptance but fails to fund the purchase price for the Offered Securities within such seven (7) Business Day period, the Holder’s Notice of Acceptance shall be deemed withdrawn, and the Company may proceed to consummate the Subsequent Financing with third-party investors on the terms set forth in the Offer Notice (subject to the time limitation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the Company shall propose to sell less than all the Refused Securities (any such sale to be in the manner and on the terms specified in Section 7(d) above), then the Holder may, at its sole option and in its sole discretion, reduce the number or amount of the Offered Securities specified in its Notice of Acceptance to an amount that shall be not less than the number or amount of the Offered Securities that the Holder elected to purchase pursuant to Section 7(c) above multiplied by a fraction, (A) the numerator of which shall be the number or amount of Offered Securities the Company actually proposes to issue, sell or exchange (including Offered Securities to be issued or sold to Holder pursuant to this Section 7 prior to such reduction) and (B) the denominator of which shall be the original amount of the Offered Securities. In the event that any Holder so elects to reduce the number or amount of Offered Securities specified in its Notice of Acceptance, the Company may not issue, sell or exchange more than the reduced number or amount of the Offered Securities unless and until such securities have again been offered to the Holder in accordance with Section 7(b)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closing of the issuance, sale or exchange of all or less than all of the Refused Securities, the Holder shall acquire from the Company, and the Company shall issue to the Holder, the number or amount of Offered Securities specified in its Notice of Acceptance, as reduced pursuant to Section 7(e) above if the Holder has so elected, upon the terms and conditions specified in the Offer. The purchase by the Holder of any Offered Securities is subject in all cases to the preparation, execution and delivery by the Company and the Holder of a separate purchase agreement relating to such Offered Securities reasonably satisfactory in form and substance to each of the Company and the Holder and their respective counsel.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Offered Securities not acquired by the Holder or other Persons in accordance with this Section 7 may not be issued, sold or exchanged until they are again offered to the Holder under the procedures specified in this Section 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to the contrary in this Section 7 and unless otherwise agreed to by the Holder, the Company shall either confirm in writing to the Holder that the transaction with respect to the Subsequent Financing has been abandoned or shall publicly disclose its intention to issue the Offered Securities, in either case, in such a manner such that the Holder will not be in possession of any material, non-public information, by the fifteenth (15th) Business Day following delivery of the Offer Notice. If by such fifteenth (15th) Business Day, no public disclosure regarding a transaction with respect to the Offered Securities has been made, and no notice regarding the abandonment of such transaction has been received by the Holder, such transaction shall be deemed to have been abandoned and the Holder shall not be in possession of any material, non-public information with respect to the Company or any of its Subsidiaries. Should the Company decide to pursue such transaction with respect to the Offered Securities, the Company shall provide the Holder with another Offer Notice and the Holder will again have the right of participation set forth in this Section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the Holder as of the date hereof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a business company duly incorporated, validly existing and in good standing under the laws of the British Virgin Islands, with full corporate power and authority to own, lease and operate its properties and to carry on its business as presently conducted.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 Validity</w:t>
      </w:r>
      <w:r>
        <w:rPr>
          <w:rFonts w:ascii="Times New Roman;Times;Serif" w:hAnsi="Times New Roman;Times;Serif"/>
          <w:b w:val="false"/>
          <w:i w:val="false"/>
          <w:caps w:val="false"/>
          <w:smallCaps w:val="false"/>
          <w:sz w:val="20"/>
        </w:rPr>
        <w:t>. The Company has all requisite corporate power and authority to enter into and perform its obligations under this Agreement. The execution and delivery of this Agreement by the Company and the consummation by the Company of the transactions contemplated hereby have been duly authorized by all necessary corporate action on the part of the Company, and no further consent or authorization of the Company, its Board of Directors or its shareholders is required. This Agreement has been duly executed and delivered by the Company and constitutes a legal, valid and binding obligation of the Company, enforceable against the Company in accordance with its terms, except as such enforceability may be limited by applicable bankruptcy, insolvency, reorganization, moratorium, liquidation or similar laws relating to, or affecting generally the enforcement of, creditors’ rights and remedies or by other equitable principles of general application.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consummation by the Company of the transactions contemplated hereby will not (i) result in a violation of the memorandum and articles of association of the Company, (ii) conflict with, or constitute a default (or an event which with notice or lapse of time or both would become a default) under, or give to others any rights of termination, amendment, acceleration or cancellation of, any agreement, indenture or instrument to which the Company is a party, or (iii) result in a violation of any law, rule, regulation, order, judgment or decree applicable to the Company or by which any property or asset of the Company is bound or affected.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is not required to obtain any consent from, authorization or order of, or make any filing or registration with, any court, governmental agency or any regulatory or self-regulatory agency or any other Person in order for it to execute, deliver or perform any of its respective obligations under or contemplated by this Agreement, in each case, in accordance with the terms hereof. All consents, authorizations, orders, filings and registrations which the Company is required to obtain pursuant to the preceding sentence have been obtained or effected on or prior to the date of this Agreement, and the Company is not aware of any facts or circumstances which might prevent the Company from obtaining or effecting any of the registration, application or filings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Representations and Warranties of the Holder</w:t>
      </w:r>
      <w:r>
        <w:rPr>
          <w:rFonts w:ascii="Times New Roman;Times;Serif" w:hAnsi="Times New Roman;Times;Serif"/>
          <w:b w:val="false"/>
          <w:i w:val="false"/>
          <w:caps w:val="false"/>
          <w:smallCaps w:val="false"/>
          <w:sz w:val="20"/>
        </w:rPr>
        <w:t>. The Holder hereby represents and warrants to the Company as of the date hereof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Authority</w:t>
      </w:r>
      <w:r>
        <w:rPr>
          <w:rFonts w:ascii="Times New Roman;Times;Serif" w:hAnsi="Times New Roman;Times;Serif"/>
          <w:b w:val="false"/>
          <w:i w:val="false"/>
          <w:caps w:val="false"/>
          <w:smallCaps w:val="false"/>
          <w:sz w:val="20"/>
        </w:rPr>
        <w:t>. The Holder is a corporation duly organized, validly existing and in good standing under the laws of its jurisdiction of incorporation, with full corporate power and authority to enter into and perform its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execution and delivery of this Agreement by the Holder and the consummation by the Holder of the transactions contemplated hereby have been duly authorized by all necessary corporate action on the part of the Holder. This Agreement has been duly executed and delivered by the Holder and constitutes a legal, valid and binding obligation of the Holder, enforceable against the Holder in accordance with its terms, except as such enforceability may be limited by applicable bankruptcy, insolvency, reorganization, moratorium, liquidation or similar laws relating to, or affecting generally the enforcement of, creditors’ rights and remedies or by other equitable principles of general application.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Holder of this Agreement and the consummation by the Holder of the transactions contemplated hereby will not (i) result in a violation of the organizational documents of the Holder, (ii) conflict with, or constitute a default under, any agreement, indenture or instrument to which the Holder is a party, or (iii) result in a violation of any law, rule, regulation, order, judgment or decree applicable to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Representations Regarding the Warrants</w:t>
      </w:r>
      <w:r>
        <w:rPr>
          <w:rFonts w:ascii="Times New Roman;Times;Serif" w:hAnsi="Times New Roman;Times;Serif"/>
          <w:b w:val="false"/>
          <w:i w:val="false"/>
          <w:caps w:val="false"/>
          <w:smallCaps w:val="false"/>
          <w:sz w:val="20"/>
        </w:rPr>
        <w:t>. As of the date hereof, the Holder is the sole legal and beneficial owner of the Warrants, free and clear of all liens, encumbrances, security interests and claims of any kind, and the Holder has not transferred, assigned or pledged any interest therein to any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Representations Regarding the Convertible Note</w:t>
      </w:r>
      <w:r>
        <w:rPr>
          <w:rFonts w:ascii="Times New Roman;Times;Serif" w:hAnsi="Times New Roman;Times;Serif"/>
          <w:b w:val="false"/>
          <w:i w:val="false"/>
          <w:caps w:val="false"/>
          <w:smallCaps w:val="false"/>
          <w:sz w:val="20"/>
        </w:rPr>
        <w:t>. As of the date hereof, the Holder is the sole legal and beneficial owner of the Convertible Note, free and clear of all liens, encumbrances, security interests and claims of any kind, and the Holder has not transferred, assigned or pledged any interest therein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Ratification</w:t>
      </w:r>
      <w:r>
        <w:rPr>
          <w:rFonts w:ascii="Times New Roman;Times;Serif" w:hAnsi="Times New Roman;Times;Serif"/>
          <w:b w:val="false"/>
          <w:i w:val="false"/>
          <w:caps w:val="false"/>
          <w:smallCaps w:val="false"/>
          <w:sz w:val="20"/>
        </w:rPr>
        <w:t>. Except as hereby specifically amended or supplemented by this Agreement, the Purchase Agreement and each other Transaction Document is hereby confirmed and ratified in all respects and shall remain in full force and effect. In the event of any conflict between the terms of this Agreement and the terms of the Purchase Agreement or any other Transaction Document, the terms of this Agreement shall control.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regard to principles of conflicts of law that would result in the application of the laws of any other jurisdiction.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set forth below its signature hereto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Signatures transmitted by facsimile, electronic mail (including PDF or any electronic signature complying with the U.S. federal ESIGN Act of 2000) shall be deemed original signatures for all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Purchase Agreement and the other Transaction Documents, contains the entire understanding of the parties with respect to the matters covered herein and therein and, except as specifically set forth herein or therein, neither the Company nor the Holder makes any representation, warranty, covenant or undertaking with respect to such matters.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amended other than by an instrument in writing signed by the Company and the Holder. No waiver shall be effective unless it is in writing and signed by the party giving such waiver, and any such waiver shall only be applicable and effective in the specific instance in which it is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and shall not form part of, or affect the interpretation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permitted assigns. Neither party may assign this Agreement or any rights or obligations hereunder without the prior written consent of the other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waivers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(1) Business Day after deposit with an overnight courier service, in each case properly addressed to the party to receive the same. The addresses for such communications shall be the addresses set forth beneath each party’s signature hereto, or such other address as may be designated in writing hereafter, in the same manner, by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754" w:type="dxa"/>
        <w:jc w:val="left"/>
        <w:tblInd w:w="0" w:type="dxa"/>
        <w:tblLayout w:type="fixed"/>
        <w:tblCellMar>
          <w:top w:w="0" w:type="dxa"/>
          <w:left w:w="0" w:type="dxa"/>
          <w:bottom w:w="0" w:type="dxa"/>
          <w:right w:w="0" w:type="dxa"/>
        </w:tblCellMar>
      </w:tblPr>
      <w:tblGrid>
        <w:gridCol w:w="886"/>
        <w:gridCol w:w="2793"/>
        <w:gridCol w:w="75"/>
      </w:tblGrid>
      <w:tr>
        <w:trPr/>
        <w:tc>
          <w:tcPr>
            <w:tcW w:w="3679" w:type="dxa"/>
            <w:gridSpan w:val="2"/>
            <w:tcBorders/>
            <w:vAlign w:val="center"/>
          </w:tcPr>
          <w:p>
            <w:pPr>
              <w:pStyle w:val="TableContents"/>
              <w:bidi w:val="0"/>
              <w:spacing w:before="0" w:after="283"/>
              <w:jc w:val="both"/>
              <w:rPr>
                <w:b/>
              </w:rPr>
            </w:pPr>
            <w:r>
              <w:rPr>
                <w:b/>
              </w:rPr>
              <w:t>COMPANY:</w:t>
            </w:r>
          </w:p>
        </w:tc>
        <w:tc>
          <w:tcPr>
            <w:tcW w:w="75" w:type="dxa"/>
            <w:tcBorders/>
            <w:vAlign w:val="center"/>
          </w:tcPr>
          <w:p>
            <w:pPr>
              <w:pStyle w:val="TableContents"/>
              <w:bidi w:val="0"/>
              <w:spacing w:before="0" w:after="283"/>
              <w:jc w:val="both"/>
              <w:rPr/>
            </w:pPr>
            <w:r>
              <w:rPr/>
              <w:t> </w:t>
            </w:r>
          </w:p>
        </w:tc>
      </w:tr>
      <w:tr>
        <w:trPr/>
        <w:tc>
          <w:tcPr>
            <w:tcW w:w="3679"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679" w:type="dxa"/>
            <w:gridSpan w:val="2"/>
            <w:tcBorders/>
            <w:vAlign w:val="center"/>
          </w:tcPr>
          <w:p>
            <w:pPr>
              <w:pStyle w:val="TableContents"/>
              <w:bidi w:val="0"/>
              <w:spacing w:before="0" w:after="283"/>
              <w:jc w:val="both"/>
              <w:rPr>
                <w:b/>
              </w:rPr>
            </w:pPr>
            <w:r>
              <w:rPr>
                <w:b/>
              </w:rPr>
              <w:t>YY GROUP HOLDING LIMITED</w:t>
            </w:r>
          </w:p>
        </w:tc>
        <w:tc>
          <w:tcPr>
            <w:tcW w:w="75" w:type="dxa"/>
            <w:tcBorders/>
            <w:vAlign w:val="center"/>
          </w:tcPr>
          <w:p>
            <w:pPr>
              <w:pStyle w:val="TableContents"/>
              <w:bidi w:val="0"/>
              <w:spacing w:before="0" w:after="283"/>
              <w:jc w:val="both"/>
              <w:rPr/>
            </w:pPr>
            <w:r>
              <w:rPr/>
              <w:t> </w:t>
            </w:r>
          </w:p>
        </w:tc>
      </w:tr>
      <w:tr>
        <w:trPr/>
        <w:tc>
          <w:tcPr>
            <w:tcW w:w="886" w:type="dxa"/>
            <w:tcBorders/>
            <w:vAlign w:val="center"/>
          </w:tcPr>
          <w:p>
            <w:pPr>
              <w:pStyle w:val="TableContents"/>
              <w:bidi w:val="0"/>
              <w:spacing w:before="0" w:after="283"/>
              <w:jc w:val="both"/>
              <w:rPr/>
            </w:pPr>
            <w:r>
              <w:rPr/>
              <w:t> </w:t>
            </w:r>
          </w:p>
        </w:tc>
        <w:tc>
          <w:tcPr>
            <w:tcW w:w="2793"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886" w:type="dxa"/>
            <w:tcBorders/>
            <w:vAlign w:val="center"/>
          </w:tcPr>
          <w:p>
            <w:pPr>
              <w:pStyle w:val="TableContents"/>
              <w:bidi w:val="0"/>
              <w:spacing w:before="0" w:after="283"/>
              <w:jc w:val="both"/>
              <w:rPr/>
            </w:pPr>
            <w:r>
              <w:rPr/>
              <w:t>By:</w:t>
            </w:r>
          </w:p>
        </w:tc>
        <w:tc>
          <w:tcPr>
            <w:tcW w:w="2793"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886" w:type="dxa"/>
            <w:tcBorders/>
            <w:vAlign w:val="center"/>
          </w:tcPr>
          <w:p>
            <w:pPr>
              <w:pStyle w:val="TableContents"/>
              <w:bidi w:val="0"/>
              <w:spacing w:before="0" w:after="283"/>
              <w:jc w:val="both"/>
              <w:rPr/>
            </w:pPr>
            <w:r>
              <w:rPr/>
              <w:t>Name: </w:t>
            </w:r>
          </w:p>
        </w:tc>
        <w:tc>
          <w:tcPr>
            <w:tcW w:w="2793" w:type="dxa"/>
            <w:tcBorders/>
            <w:vAlign w:val="center"/>
          </w:tcPr>
          <w:p>
            <w:pPr>
              <w:pStyle w:val="TableContents"/>
              <w:bidi w:val="0"/>
              <w:spacing w:before="0" w:after="283"/>
              <w:jc w:val="both"/>
              <w:rPr/>
            </w:pPr>
            <w:r>
              <w:rPr/>
              <w:t>Xiaowei Fu</w:t>
            </w:r>
          </w:p>
        </w:tc>
        <w:tc>
          <w:tcPr>
            <w:tcW w:w="75" w:type="dxa"/>
            <w:tcBorders/>
            <w:vAlign w:val="center"/>
          </w:tcPr>
          <w:p>
            <w:pPr>
              <w:pStyle w:val="TableContents"/>
              <w:bidi w:val="0"/>
              <w:spacing w:before="0" w:after="283"/>
              <w:jc w:val="both"/>
              <w:rPr/>
            </w:pPr>
            <w:r>
              <w:rPr/>
              <w:t> </w:t>
            </w:r>
          </w:p>
        </w:tc>
      </w:tr>
      <w:tr>
        <w:trPr/>
        <w:tc>
          <w:tcPr>
            <w:tcW w:w="886" w:type="dxa"/>
            <w:tcBorders/>
            <w:vAlign w:val="center"/>
          </w:tcPr>
          <w:p>
            <w:pPr>
              <w:pStyle w:val="TableContents"/>
              <w:bidi w:val="0"/>
              <w:spacing w:before="0" w:after="283"/>
              <w:jc w:val="both"/>
              <w:rPr/>
            </w:pPr>
            <w:r>
              <w:rPr/>
              <w:t>Title:</w:t>
            </w:r>
          </w:p>
        </w:tc>
        <w:tc>
          <w:tcPr>
            <w:tcW w:w="2793" w:type="dxa"/>
            <w:tcBorders/>
            <w:vAlign w:val="center"/>
          </w:tcPr>
          <w:p>
            <w:pPr>
              <w:pStyle w:val="TableContents"/>
              <w:bidi w:val="0"/>
              <w:spacing w:before="0" w:after="283"/>
              <w:jc w:val="both"/>
              <w:rPr/>
            </w:pPr>
            <w:r>
              <w:rPr/>
              <w:t>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4189" w:type="dxa"/>
        <w:jc w:val="left"/>
        <w:tblInd w:w="0" w:type="dxa"/>
        <w:tblLayout w:type="fixed"/>
        <w:tblCellMar>
          <w:top w:w="0" w:type="dxa"/>
          <w:left w:w="0" w:type="dxa"/>
          <w:bottom w:w="0" w:type="dxa"/>
          <w:right w:w="0" w:type="dxa"/>
        </w:tblCellMar>
      </w:tblPr>
      <w:tblGrid>
        <w:gridCol w:w="1906"/>
        <w:gridCol w:w="2208"/>
        <w:gridCol w:w="75"/>
      </w:tblGrid>
      <w:tr>
        <w:trPr/>
        <w:tc>
          <w:tcPr>
            <w:tcW w:w="4114" w:type="dxa"/>
            <w:gridSpan w:val="2"/>
            <w:tcBorders/>
            <w:vAlign w:val="center"/>
          </w:tcPr>
          <w:p>
            <w:pPr>
              <w:pStyle w:val="TableContents"/>
              <w:bidi w:val="0"/>
              <w:spacing w:before="0" w:after="283"/>
              <w:jc w:val="both"/>
              <w:rPr>
                <w:b/>
              </w:rPr>
            </w:pPr>
            <w:r>
              <w:rPr>
                <w:b/>
              </w:rPr>
              <w:t>HOLDER:</w:t>
            </w:r>
          </w:p>
        </w:tc>
        <w:tc>
          <w:tcPr>
            <w:tcW w:w="75" w:type="dxa"/>
            <w:tcBorders/>
            <w:vAlign w:val="center"/>
          </w:tcPr>
          <w:p>
            <w:pPr>
              <w:pStyle w:val="TableContents"/>
              <w:bidi w:val="0"/>
              <w:spacing w:before="0" w:after="283"/>
              <w:jc w:val="both"/>
              <w:rPr/>
            </w:pPr>
            <w:r>
              <w:rPr/>
              <w:t> </w:t>
            </w:r>
          </w:p>
        </w:tc>
      </w:tr>
      <w:tr>
        <w:trPr/>
        <w:tc>
          <w:tcPr>
            <w:tcW w:w="411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114" w:type="dxa"/>
            <w:gridSpan w:val="2"/>
            <w:tcBorders/>
            <w:vAlign w:val="center"/>
          </w:tcPr>
          <w:p>
            <w:pPr>
              <w:pStyle w:val="TableContents"/>
              <w:bidi w:val="0"/>
              <w:spacing w:before="0" w:after="283"/>
              <w:jc w:val="both"/>
              <w:rPr>
                <w:b/>
              </w:rPr>
            </w:pPr>
            <w:r>
              <w:rPr>
                <w:b/>
              </w:rPr>
              <w:t>[  ]</w:t>
            </w:r>
          </w:p>
        </w:tc>
        <w:tc>
          <w:tcPr>
            <w:tcW w:w="75" w:type="dxa"/>
            <w:tcBorders/>
            <w:vAlign w:val="center"/>
          </w:tcPr>
          <w:p>
            <w:pPr>
              <w:pStyle w:val="TableContents"/>
              <w:bidi w:val="0"/>
              <w:spacing w:before="0" w:after="283"/>
              <w:jc w:val="both"/>
              <w:rPr/>
            </w:pPr>
            <w:r>
              <w:rPr/>
              <w:t> </w:t>
            </w:r>
          </w:p>
        </w:tc>
      </w:tr>
      <w:tr>
        <w:trPr/>
        <w:tc>
          <w:tcPr>
            <w:tcW w:w="1906" w:type="dxa"/>
            <w:tcBorders/>
            <w:vAlign w:val="center"/>
          </w:tcPr>
          <w:p>
            <w:pPr>
              <w:pStyle w:val="TableContents"/>
              <w:bidi w:val="0"/>
              <w:spacing w:before="0" w:after="283"/>
              <w:jc w:val="both"/>
              <w:rPr/>
            </w:pPr>
            <w:r>
              <w:rPr/>
              <w:t> </w:t>
            </w:r>
          </w:p>
        </w:tc>
        <w:tc>
          <w:tcPr>
            <w:tcW w:w="2208"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906" w:type="dxa"/>
            <w:tcBorders/>
            <w:vAlign w:val="center"/>
          </w:tcPr>
          <w:p>
            <w:pPr>
              <w:pStyle w:val="TableContents"/>
              <w:bidi w:val="0"/>
              <w:spacing w:before="0" w:after="283"/>
              <w:jc w:val="both"/>
              <w:rPr/>
            </w:pPr>
            <w:r>
              <w:rPr/>
              <w:t>By:</w:t>
            </w:r>
          </w:p>
        </w:tc>
        <w:tc>
          <w:tcPr>
            <w:tcW w:w="2208"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906" w:type="dxa"/>
            <w:tcBorders/>
            <w:vAlign w:val="center"/>
          </w:tcPr>
          <w:p>
            <w:pPr>
              <w:pStyle w:val="TableContents"/>
              <w:bidi w:val="0"/>
              <w:spacing w:before="0" w:after="283"/>
              <w:jc w:val="both"/>
              <w:rPr/>
            </w:pPr>
            <w:r>
              <w:rPr/>
              <w:t>Name: </w:t>
            </w:r>
          </w:p>
        </w:tc>
        <w:tc>
          <w:tcPr>
            <w:tcW w:w="2208"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906" w:type="dxa"/>
            <w:tcBorders/>
            <w:vAlign w:val="center"/>
          </w:tcPr>
          <w:p>
            <w:pPr>
              <w:pStyle w:val="TableContents"/>
              <w:bidi w:val="0"/>
              <w:spacing w:before="0" w:after="283"/>
              <w:jc w:val="both"/>
              <w:rPr/>
            </w:pPr>
            <w:r>
              <w:rPr/>
              <w:t>Title:</w:t>
            </w:r>
          </w:p>
        </w:tc>
        <w:tc>
          <w:tcPr>
            <w:tcW w:w="2208"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11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114" w:type="dxa"/>
            <w:gridSpan w:val="2"/>
            <w:tcBorders/>
            <w:vAlign w:val="center"/>
          </w:tcPr>
          <w:p>
            <w:pPr>
              <w:pStyle w:val="TableContents"/>
              <w:bidi w:val="0"/>
              <w:spacing w:before="0" w:after="283"/>
              <w:jc w:val="both"/>
              <w:rPr>
                <w:b/>
              </w:rPr>
            </w:pPr>
            <w:r>
              <w:rPr>
                <w:b/>
              </w:rPr>
              <w:t>Address and Email Address for Notices:</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85337/000121390025034645/ea0238787-f3_yygroup.htm" TargetMode="External"/><Relationship Id="rId3" Type="http://schemas.openxmlformats.org/officeDocument/2006/relationships/hyperlink" Target="http://www.sec.gov/Archives/edgar/data/1985337/000118518526002899/yyghf3070926.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7352</Words>
  <Characters>39602</Characters>
  <CharactersWithSpaces>47016</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