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YY Group Holding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each with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Kenneth Schlesinger, Esq.</w:t>
              <w:br/>
              <w:t>Olshan Frome Wolosky LLP, 1325 Avenue of the Americas</w:t>
              <w:br/>
              <w:t>New York, NY, 10019</w:t>
              <w:br/>
              <w:t>212-451-2300</w:t>
            </w:r>
          </w:p>
          <w:p>
            <w:pPr>
              <w:pStyle w:val="TableContents"/>
              <w:bidi w:val="0"/>
              <w:jc w:val="left"/>
              <w:rPr/>
            </w:pPr>
            <w:r>
              <w:rPr/>
            </w:r>
          </w:p>
          <w:p>
            <w:pPr>
              <w:pStyle w:val="TableContents"/>
              <w:bidi w:val="0"/>
              <w:spacing w:before="0" w:after="0"/>
              <w:jc w:val="center"/>
              <w:rPr>
                <w:b/>
                <w:color w:val="0000FF"/>
              </w:rPr>
            </w:pPr>
            <w:r>
              <w:rPr>
                <w:b/>
                <w:color w:val="0000FF"/>
              </w:rPr>
              <w:t>Andrew J. Astore,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Hyperscale Data, Inc.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151,658.00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151,658.00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151,658.00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Alpha Structured Finance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Alpha Structured Finance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ACG Alpha Management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9"/>
        <w:gridCol w:w="8076"/>
      </w:tblGrid>
      <w:tr>
        <w:trPr/>
        <w:tc>
          <w:tcPr>
            <w:tcW w:w="2129" w:type="dxa"/>
            <w:tcBorders/>
            <w:vAlign w:val="center"/>
          </w:tcPr>
          <w:p>
            <w:pPr>
              <w:pStyle w:val="TableContents"/>
              <w:bidi w:val="0"/>
              <w:spacing w:before="0" w:after="283"/>
              <w:jc w:val="left"/>
              <w:rPr/>
            </w:pPr>
            <w:r>
              <w:rPr/>
              <w:t>1</w:t>
            </w:r>
          </w:p>
        </w:tc>
        <w:tc>
          <w:tcPr>
            <w:tcW w:w="807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Ault Lending, LLC</w:t>
            </w:r>
          </w:p>
        </w:tc>
      </w:tr>
      <w:tr>
        <w:trPr/>
        <w:tc>
          <w:tcPr>
            <w:tcW w:w="2129" w:type="dxa"/>
            <w:tcBorders/>
            <w:vAlign w:val="center"/>
          </w:tcPr>
          <w:p>
            <w:pPr>
              <w:pStyle w:val="TableContents"/>
              <w:bidi w:val="0"/>
              <w:spacing w:before="0" w:after="283"/>
              <w:jc w:val="left"/>
              <w:rPr/>
            </w:pPr>
            <w:r>
              <w:rPr/>
              <w:t>2</w:t>
            </w:r>
          </w:p>
        </w:tc>
        <w:tc>
          <w:tcPr>
            <w:tcW w:w="80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9" w:type="dxa"/>
            <w:tcBorders/>
            <w:vAlign w:val="center"/>
          </w:tcPr>
          <w:p>
            <w:pPr>
              <w:pStyle w:val="TableContents"/>
              <w:bidi w:val="0"/>
              <w:spacing w:before="0" w:after="283"/>
              <w:jc w:val="left"/>
              <w:rPr/>
            </w:pPr>
            <w:r>
              <w:rPr/>
              <w:t>3</w:t>
            </w:r>
          </w:p>
        </w:tc>
        <w:tc>
          <w:tcPr>
            <w:tcW w:w="8076" w:type="dxa"/>
            <w:tcBorders/>
            <w:vAlign w:val="center"/>
          </w:tcPr>
          <w:p>
            <w:pPr>
              <w:pStyle w:val="TableContents"/>
              <w:bidi w:val="0"/>
              <w:spacing w:before="0" w:after="283"/>
              <w:jc w:val="left"/>
              <w:rPr/>
            </w:pPr>
            <w:r>
              <w:rPr/>
              <w:t>SEC use only</w:t>
            </w:r>
          </w:p>
        </w:tc>
      </w:tr>
      <w:tr>
        <w:trPr/>
        <w:tc>
          <w:tcPr>
            <w:tcW w:w="2129" w:type="dxa"/>
            <w:tcBorders/>
            <w:vAlign w:val="center"/>
          </w:tcPr>
          <w:p>
            <w:pPr>
              <w:pStyle w:val="TableContents"/>
              <w:bidi w:val="0"/>
              <w:spacing w:before="0" w:after="283"/>
              <w:jc w:val="left"/>
              <w:rPr/>
            </w:pPr>
            <w:r>
              <w:rPr/>
              <w:t>4</w:t>
            </w:r>
          </w:p>
        </w:tc>
        <w:tc>
          <w:tcPr>
            <w:tcW w:w="807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9" w:type="dxa"/>
            <w:tcBorders/>
            <w:vAlign w:val="center"/>
          </w:tcPr>
          <w:p>
            <w:pPr>
              <w:pStyle w:val="TableContents"/>
              <w:bidi w:val="0"/>
              <w:spacing w:before="0" w:after="283"/>
              <w:jc w:val="left"/>
              <w:rPr/>
            </w:pPr>
            <w:r>
              <w:rPr/>
              <w:t>5</w:t>
            </w:r>
          </w:p>
        </w:tc>
        <w:tc>
          <w:tcPr>
            <w:tcW w:w="807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9" w:type="dxa"/>
            <w:tcBorders/>
            <w:vAlign w:val="center"/>
          </w:tcPr>
          <w:p>
            <w:pPr>
              <w:pStyle w:val="TableContents"/>
              <w:bidi w:val="0"/>
              <w:spacing w:before="0" w:after="283"/>
              <w:jc w:val="left"/>
              <w:rPr/>
            </w:pPr>
            <w:r>
              <w:rPr/>
              <w:t>6</w:t>
            </w:r>
          </w:p>
        </w:tc>
        <w:tc>
          <w:tcPr>
            <w:tcW w:w="80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2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151,658.00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151,658.00</w:t>
                  </w:r>
                </w:p>
              </w:tc>
            </w:tr>
          </w:tbl>
          <w:p>
            <w:pPr>
              <w:pStyle w:val="TableContents"/>
              <w:bidi w:val="0"/>
              <w:spacing w:before="0" w:after="283"/>
              <w:jc w:val="left"/>
              <w:rPr/>
            </w:pPr>
            <w:r>
              <w:rPr/>
            </w:r>
          </w:p>
        </w:tc>
        <w:tc>
          <w:tcPr>
            <w:tcW w:w="8076" w:type="dxa"/>
            <w:tcBorders/>
            <w:vAlign w:val="center"/>
          </w:tcPr>
          <w:p>
            <w:pPr>
              <w:pStyle w:val="TableContents"/>
              <w:bidi w:val="0"/>
              <w:spacing w:before="0" w:after="283"/>
              <w:jc w:val="left"/>
              <w:rPr>
                <w:sz w:val="4"/>
                <w:szCs w:val="4"/>
              </w:rPr>
            </w:pPr>
            <w:r>
              <w:rPr>
                <w:sz w:val="4"/>
                <w:szCs w:val="4"/>
              </w:rPr>
            </w:r>
          </w:p>
        </w:tc>
      </w:tr>
      <w:tr>
        <w:trPr/>
        <w:tc>
          <w:tcPr>
            <w:tcW w:w="2129" w:type="dxa"/>
            <w:tcBorders/>
            <w:vAlign w:val="center"/>
          </w:tcPr>
          <w:p>
            <w:pPr>
              <w:pStyle w:val="TableContents"/>
              <w:bidi w:val="0"/>
              <w:spacing w:before="0" w:after="283"/>
              <w:jc w:val="left"/>
              <w:rPr/>
            </w:pPr>
            <w:r>
              <w:rPr/>
              <w:t>11</w:t>
            </w:r>
          </w:p>
        </w:tc>
        <w:tc>
          <w:tcPr>
            <w:tcW w:w="80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151,658.00</w:t>
            </w:r>
          </w:p>
        </w:tc>
      </w:tr>
      <w:tr>
        <w:trPr/>
        <w:tc>
          <w:tcPr>
            <w:tcW w:w="2129" w:type="dxa"/>
            <w:tcBorders/>
            <w:vAlign w:val="center"/>
          </w:tcPr>
          <w:p>
            <w:pPr>
              <w:pStyle w:val="TableContents"/>
              <w:bidi w:val="0"/>
              <w:spacing w:before="0" w:after="283"/>
              <w:jc w:val="left"/>
              <w:rPr/>
            </w:pPr>
            <w:r>
              <w:rPr/>
              <w:t>12</w:t>
            </w:r>
          </w:p>
        </w:tc>
        <w:tc>
          <w:tcPr>
            <w:tcW w:w="807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9" w:type="dxa"/>
            <w:tcBorders/>
            <w:vAlign w:val="center"/>
          </w:tcPr>
          <w:p>
            <w:pPr>
              <w:pStyle w:val="TableContents"/>
              <w:bidi w:val="0"/>
              <w:spacing w:before="0" w:after="283"/>
              <w:jc w:val="left"/>
              <w:rPr/>
            </w:pPr>
            <w:r>
              <w:rPr/>
              <w:t>13</w:t>
            </w:r>
          </w:p>
        </w:tc>
        <w:tc>
          <w:tcPr>
            <w:tcW w:w="807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129" w:type="dxa"/>
            <w:tcBorders/>
            <w:vAlign w:val="center"/>
          </w:tcPr>
          <w:p>
            <w:pPr>
              <w:pStyle w:val="TableContents"/>
              <w:bidi w:val="0"/>
              <w:spacing w:before="0" w:after="283"/>
              <w:jc w:val="left"/>
              <w:rPr/>
            </w:pPr>
            <w:r>
              <w:rPr/>
              <w:t>14</w:t>
            </w:r>
          </w:p>
        </w:tc>
        <w:tc>
          <w:tcPr>
            <w:tcW w:w="80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Ault Capital Group,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151,658.00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151,658.00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151,658.00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AULT MILTON C III</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151,658.00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151,658.00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151,659.00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Reporting Person has sole voting and dispositive power over 0.666667 of a fractional share, which has been rounded to the nearest whole number and reflected in the amounts reported in rows 7, 9 and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each with no par value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YY Group Holding Ltd.</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PAYA LEBAR ROAD #05-43 PAYA LEBAR SQ, SINGAPORE, SINGAPORE , SINGAPORE.</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10 (this "Amendment No. 10") amends the statement on Schedule 13D originally filed by the Reporting Persons on April 15, 2026, as amended (the "Schedule 13D"), and relates to the Class A Ordinary Shares, each with no par value, of YY Group Holding Ltd. Except as specifically provided herein, this Amendment No. 10 does not modify any of the information previously reported in the Schedule 13D. Unless otherwise indicated, each capitalized term used but not defined in this Amendment No. 10 shall have the meaning assigned to such term in the Schedule 13D.</w:t>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3 is hereby amended and restated as follows: The aggregate purchase price of the 151,658 Shares beneficially owned by Ault Lending that were purchased directly by Ault Lending with working capital (which may, at any given time, include margin loans made by brokerage firms in the ordinary course of business) in open market purchases is approximately $355,010, including brokerage commissions. The aggregate purchase price of the 0.666667 of a Share beneficially owned by Mr. Ault that was purchased directly by Mr. Ault with personal funds (which may, at any given time, include margin loans made by brokerage firms in the ordinary course of business) in open market purchases is $4,544, including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0"/>
              <w:jc w:val="left"/>
              <w:rPr/>
            </w:pPr>
            <w:r>
              <w:rPr/>
              <w:t>Item 5(a) is hereby amended and restated as follows: The aggregate percentage of Shares reported beneficially owned by the Reporting Person is based upon 3,201,764 Shares outstanding as of July 10, 2026, which is the total number of Shares outstanding reported by the Issuer in its Form F-3 filed with the Securities and Exchange Commission (the "SEC") on July 13, 2026. As of the date hereof, Hyperscale, as the majority holder of the equity interests of Ault Capital, may be deemed to beneficially own the 151,658 Shares beneficially owned by Ault Lending. Percentage: 4.7% As of the date hereof, Alpha Fund beneficially owned 0 Shares. Percentage: 0.0% As of the date hereof, Alpha GP, as the general partner of Alpha Fund, may be deemed to beneficially own the 0 Shares beneficially owned by Alpha Fund. Percentage: 0.0% As of the date hereof, Alpha Management, as the investment manager of Alpha Fund, may be deemed to beneficially own the 0 Shares beneficially owned by Alpha Fund. Percentage: 0.0% As of the date hereof, Ault Lending beneficially owned 151,658 Shares. Percentage: 4.7% As of the date hereof, Ault Capital, as the majority holder of the equity interests of Ault Lending, may be deemed to beneficially own the 151,658 Shares beneficially owned by Ault Lending. Percentage: 4.7% As of the date hereof, Mr. Ault beneficially owned 151,658.67 Shares, including the 0.666667 of a Share beneficially owned directly, and the 151,658 Shares beneficially owned by Ault Lending that, as the Executive Chairman of Ault Capital and the Executive Chairman of Hyperscale, Mr. Ault may be deemed to beneficially own. Percentage: 4.7%</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0"/>
              <w:jc w:val="left"/>
              <w:rPr/>
            </w:pPr>
            <w:r>
              <w:rPr/>
              <w:t>Item 5(b) is hereby amended and restated as follows: Hyperscale: 1. Sole power to vote or direct vote: 0 2. Shared power to vote or direct vote: 151,658 3. Sole power to dispose or direct the disposition: 0 4. Shared power to dispose or direct the disposition: 151,658 Alpha Fund: 1. Sole power to vote or direct vote: 0 2. Shared power to vote or direct vote: 0 3. Sole power to dispose or direct the disposition: 0 4. Shared power to dispose or direct the disposition: 0 Alpha GP: 1. Sole power to vote or direct vote: 0 2. Shared power to vote or direct vote: 0 3. Sole power to dispose or direct the disposition: 0 4. Shared power to dispose or direct the disposition: 0 Alpha Management: 1. Sole power to vote or direct vote: 0 2. Shared power to vote or direct vote: 0 3. Sole power to dispose or direct the disposition: 0 4. Shared power to dispose or direct the disposition: 0 Ault Lending: 1. Sole power to vote or direct vote: 0 2. Shared power to vote or direct vote: 151,658 3. Sole power to dispose or direct the disposition: 0 4. Shared power to dispose or direct the disposition: 151,658 Ault Capital: 1. Sole power to vote or direct vote: 0 2. Shared power to vote or direct vote: 151,658 3. Sole power to dispose or direct the disposition: 0 4. Shared power to dispose or direct the disposition: 151,658 Mr. Ault: 1. Sole power to vote or direct vote: 0.666667 2. Shared power to vote or direct vote: 151,658 3. Sole power to dispose or direct the disposition: 0.666667 4. Shared power to dispose or direct the disposition: 151,658</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0"/>
              <w:jc w:val="left"/>
              <w:rPr/>
            </w:pPr>
            <w:r>
              <w:rPr/>
              <w:t>Item 5(c) is hereby amended and restated as follows: None of the Reporting Persons have engaged in any transactions in the Shares since the filing of Amendment No. 9 except as set forth in Exhibit 1 hereto.</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0"/>
              <w:jc w:val="left"/>
              <w:rPr/>
            </w:pPr>
            <w:r>
              <w:rPr/>
              <w:t>The Reporting Persons ceased to beneficially own more than five percent of the outstanding Shares on August 5, 2026. This Amendment No. 10 constitutes the final amendment to the Schedule 13D and serves as an exit filing for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Exhibit 1 - Transactions in Securities of the Issuer Since the Filing of Amendment No. 9.</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Hyperscale Data, Inc.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Milton C. Ault, III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Milton C. Ault, III, Executive Chairman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Alpha Structured Finance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Milton C. Ault, III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Milton C. Ault, III, CEO and Chief Investment Officer of its Investment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Alpha Structured Finance GP LLC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Milton C. Ault, III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Milton C. Ault, III, CEO and Chief Investment Officer of its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ACG Alpha Management LLC</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Milton C. Ault, III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Milton C. Ault, III, CEO and Chief Investment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Ault Lending, LLC</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David J. Katzoff</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David J. Katzoff,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Ault Capital Group, Inc.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Milton C. Ault, III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Milton C. Ault, III, Executive Chairman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AULT MILTON C III</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6"/>
        <w:gridCol w:w="4459"/>
      </w:tblGrid>
      <w:tr>
        <w:trPr/>
        <w:tc>
          <w:tcPr>
            <w:tcW w:w="57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Milton C. Ault, III</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Milton C. Ault, III</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8" w:name="ex1to13da1012570023_080626.htm"/>
      <w:bookmarkStart w:id="39" w:name="ksex1to13da1012570023_080626"/>
      <w:bookmarkEnd w:id="38"/>
      <w:bookmarkEnd w:id="39"/>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the Filing of Amendment No. 9</w:t>
      </w:r>
    </w:p>
    <w:tbl>
      <w:tblPr>
        <w:tblW w:w="5675" w:type="dxa"/>
        <w:jc w:val="left"/>
        <w:tblInd w:w="0" w:type="dxa"/>
        <w:tblLayout w:type="fixed"/>
        <w:tblCellMar>
          <w:top w:w="0" w:type="dxa"/>
          <w:left w:w="0" w:type="dxa"/>
          <w:bottom w:w="0" w:type="dxa"/>
          <w:right w:w="0" w:type="dxa"/>
        </w:tblCellMar>
      </w:tblPr>
      <w:tblGrid>
        <w:gridCol w:w="2090"/>
        <w:gridCol w:w="1730"/>
        <w:gridCol w:w="695"/>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7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Ault Lending, LLC</w:t>
      </w:r>
    </w:p>
    <w:tbl>
      <w:tblPr>
        <w:tblW w:w="4865" w:type="dxa"/>
        <w:jc w:val="left"/>
        <w:tblInd w:w="0" w:type="dxa"/>
        <w:tblLayout w:type="fixed"/>
        <w:tblCellMar>
          <w:top w:w="0" w:type="dxa"/>
          <w:left w:w="0" w:type="dxa"/>
          <w:bottom w:w="0" w:type="dxa"/>
          <w:right w:w="0" w:type="dxa"/>
        </w:tblCellMar>
      </w:tblPr>
      <w:tblGrid>
        <w:gridCol w:w="2240"/>
        <w:gridCol w:w="830"/>
        <w:gridCol w:w="680"/>
        <w:gridCol w:w="1115"/>
      </w:tblGrid>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(8,475)</w:t>
            </w:r>
          </w:p>
        </w:tc>
        <w:tc>
          <w:tcPr>
            <w:tcW w:w="680" w:type="dxa"/>
            <w:tcBorders/>
            <w:shd w:fill="CCEEFF" w:val="clear"/>
            <w:vAlign w:val="center"/>
          </w:tcPr>
          <w:p>
            <w:pPr>
              <w:pStyle w:val="TableContents"/>
              <w:bidi w:val="0"/>
              <w:spacing w:before="0" w:after="283"/>
              <w:jc w:val="center"/>
              <w:rPr/>
            </w:pPr>
            <w:r>
              <w:rPr/>
              <w:t>1.2312</w:t>
            </w:r>
          </w:p>
        </w:tc>
        <w:tc>
          <w:tcPr>
            <w:tcW w:w="1115" w:type="dxa"/>
            <w:tcBorders/>
            <w:shd w:fill="CCEEFF" w:val="clear"/>
            <w:vAlign w:val="center"/>
          </w:tcPr>
          <w:p>
            <w:pPr>
              <w:pStyle w:val="TableContents"/>
              <w:bidi w:val="0"/>
              <w:spacing w:before="0" w:after="283"/>
              <w:jc w:val="center"/>
              <w:rPr/>
            </w:pPr>
            <w:r>
              <w:rPr/>
              <w:t>07/29/2026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(6,111)</w:t>
            </w:r>
          </w:p>
        </w:tc>
        <w:tc>
          <w:tcPr>
            <w:tcW w:w="680" w:type="dxa"/>
            <w:tcBorders/>
            <w:shd w:fill="FFFFFF" w:val="clear"/>
            <w:vAlign w:val="center"/>
          </w:tcPr>
          <w:p>
            <w:pPr>
              <w:pStyle w:val="TableContents"/>
              <w:bidi w:val="0"/>
              <w:spacing w:before="0" w:after="283"/>
              <w:jc w:val="center"/>
              <w:rPr/>
            </w:pPr>
            <w:r>
              <w:rPr/>
              <w:t>1.2312</w:t>
            </w:r>
          </w:p>
        </w:tc>
        <w:tc>
          <w:tcPr>
            <w:tcW w:w="1115" w:type="dxa"/>
            <w:tcBorders/>
            <w:shd w:fill="FFFFFF" w:val="clear"/>
            <w:vAlign w:val="center"/>
          </w:tcPr>
          <w:p>
            <w:pPr>
              <w:pStyle w:val="TableContents"/>
              <w:bidi w:val="0"/>
              <w:spacing w:before="0" w:after="283"/>
              <w:jc w:val="center"/>
              <w:rPr/>
            </w:pPr>
            <w:r>
              <w:rPr/>
              <w:t>07/30/2026</w:t>
            </w:r>
          </w:p>
        </w:tc>
      </w:tr>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(5,800)</w:t>
            </w:r>
          </w:p>
        </w:tc>
        <w:tc>
          <w:tcPr>
            <w:tcW w:w="680" w:type="dxa"/>
            <w:tcBorders/>
            <w:shd w:fill="CCEEFF" w:val="clear"/>
            <w:vAlign w:val="center"/>
          </w:tcPr>
          <w:p>
            <w:pPr>
              <w:pStyle w:val="TableContents"/>
              <w:bidi w:val="0"/>
              <w:spacing w:before="0" w:after="283"/>
              <w:jc w:val="center"/>
              <w:rPr/>
            </w:pPr>
            <w:r>
              <w:rPr/>
              <w:t>1.2187</w:t>
            </w:r>
          </w:p>
        </w:tc>
        <w:tc>
          <w:tcPr>
            <w:tcW w:w="1115" w:type="dxa"/>
            <w:tcBorders/>
            <w:shd w:fill="CCEEFF" w:val="clear"/>
            <w:vAlign w:val="center"/>
          </w:tcPr>
          <w:p>
            <w:pPr>
              <w:pStyle w:val="TableContents"/>
              <w:bidi w:val="0"/>
              <w:spacing w:before="0" w:after="283"/>
              <w:jc w:val="center"/>
              <w:rPr/>
            </w:pPr>
            <w:r>
              <w:rPr/>
              <w:t>08/03/2026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(20,355)</w:t>
            </w:r>
          </w:p>
        </w:tc>
        <w:tc>
          <w:tcPr>
            <w:tcW w:w="680" w:type="dxa"/>
            <w:tcBorders/>
            <w:shd w:fill="FFFFFF" w:val="clear"/>
            <w:vAlign w:val="center"/>
          </w:tcPr>
          <w:p>
            <w:pPr>
              <w:pStyle w:val="TableContents"/>
              <w:bidi w:val="0"/>
              <w:spacing w:before="0" w:after="283"/>
              <w:jc w:val="center"/>
              <w:rPr/>
            </w:pPr>
            <w:r>
              <w:rPr/>
              <w:t>1.2575</w:t>
            </w:r>
          </w:p>
        </w:tc>
        <w:tc>
          <w:tcPr>
            <w:tcW w:w="1115" w:type="dxa"/>
            <w:tcBorders/>
            <w:shd w:fill="FFFFFF" w:val="clear"/>
            <w:vAlign w:val="center"/>
          </w:tcPr>
          <w:p>
            <w:pPr>
              <w:pStyle w:val="TableContents"/>
              <w:bidi w:val="0"/>
              <w:spacing w:before="0" w:after="283"/>
              <w:jc w:val="center"/>
              <w:rPr/>
            </w:pPr>
            <w:r>
              <w:rPr/>
              <w:t>08/04/2026</w:t>
            </w:r>
          </w:p>
        </w:tc>
      </w:tr>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(25,000)</w:t>
            </w:r>
          </w:p>
        </w:tc>
        <w:tc>
          <w:tcPr>
            <w:tcW w:w="680" w:type="dxa"/>
            <w:tcBorders/>
            <w:shd w:fill="CCEEFF" w:val="clear"/>
            <w:vAlign w:val="center"/>
          </w:tcPr>
          <w:p>
            <w:pPr>
              <w:pStyle w:val="TableContents"/>
              <w:bidi w:val="0"/>
              <w:spacing w:before="0" w:after="283"/>
              <w:jc w:val="center"/>
              <w:rPr/>
            </w:pPr>
            <w:r>
              <w:rPr/>
              <w:t>1.1634</w:t>
            </w:r>
          </w:p>
        </w:tc>
        <w:tc>
          <w:tcPr>
            <w:tcW w:w="1115" w:type="dxa"/>
            <w:tcBorders/>
            <w:shd w:fill="CCEEFF" w:val="clear"/>
            <w:vAlign w:val="center"/>
          </w:tcPr>
          <w:p>
            <w:pPr>
              <w:pStyle w:val="TableContents"/>
              <w:bidi w:val="0"/>
              <w:spacing w:before="0" w:after="283"/>
              <w:jc w:val="center"/>
              <w:rPr/>
            </w:pPr>
            <w:r>
              <w:rPr/>
              <w:t>08/05/2026</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2367</Words>
  <Characters>11794</Characters>
  <CharactersWithSpaces>13959</CharactersWithSpaces>
  <Paragraphs>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