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yfor6k090726.htm"/>
      <w:bookmarkStart w:id="1" w:name="ksyfor6k090726"/>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YYForce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Paya Lebar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#09-13/14/15/16/17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Paya Lebar Square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409051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Times New Roman;Times;Serif" w:hAnsi="Times New Roman;Times;Serif"/>
          <w:b w:val="false"/>
          <w:i w:val="false"/>
          <w:caps w:val="false"/>
          <w:smallCaps w:val="false"/>
          <w:sz w:val="20"/>
        </w:rPr>
        <w:t>Form 20-F </w:t>
      </w:r>
      <w:r>
        <w:rPr>
          <w:rFonts w:ascii="Arial;Helvetica;Sans-Serif" w:hAnsi="Arial;Helvetica;Sans-Serif"/>
          <w:b w:val="false"/>
          <w:i w:val="false"/>
          <w:caps w:val="false"/>
          <w:smallCaps w:val="false"/>
          <w:sz w:val="20"/>
        </w:rPr>
        <w:t>☒        </w:t>
      </w:r>
      <w:r>
        <w:rPr>
          <w:rFonts w:ascii="Times New Roman;Times;Serif" w:hAnsi="Times New Roman;Times;Serif"/>
          <w:b w:val="false"/>
          <w:i w:val="false"/>
          <w:caps w:val="false"/>
          <w:smallCaps w:val="false"/>
          <w:sz w:val="20"/>
        </w:rPr>
        <w:t>Form 40-F </w:t>
      </w:r>
      <w:r>
        <w:rPr>
          <w:rFonts w:ascii="Arial;Helvetica;Sans-Serif" w:hAnsi="Arial;Helvetica;San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FORM 6-K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2026, the board of directors of YY Group Holding Limited (the “Company”) approved the change of the Company’s name from “YY Group Holding Limited” to “YYForce Inc.”, with effect from the date of the certificate of incorporation reflecting the new name to be issued by the Registrar of Companies in the British Virgin Islands (the “BVI Registrar”) (the “Change of Name”). On August 31, 2026, the Company filed an amendment to the Amended and Restated Memorandum and Articles of Association of the Company with the BVI Registrar to reflect the Change of Name. A copy of the amendment to Amended and Restated Memorandum and Articles of Association is attached hereto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 2026, the Change of Name went effective on the market and the Company’s Class A ordinary shares started trading on the Nasdaq Capital Market under new ticker symbol “YFOR.”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name change and ticker symbol change, no action is required from the Company’s current securityholders, and the Company’s ISIN number will remain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the Company issued a press release announcing the Change of Name and the change of ticker symbol. A copy of the press release is attached hereto as Exhibit 99.2.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report on Form 6-K and the attached exhibits are incorporated by reference into the Company’s registration statements on Form F-3, as amended (File Nos. </w:t>
      </w:r>
      <w:hyperlink r:id="rId2">
        <w:r>
          <w:rPr>
            <w:rStyle w:val="InternetLink"/>
            <w:rFonts w:ascii="Times New Roman;Times;Serif" w:hAnsi="Times New Roman;Times;Serif"/>
            <w:b w:val="false"/>
            <w:i w:val="false"/>
            <w:caps w:val="false"/>
            <w:smallCaps w:val="false"/>
            <w:sz w:val="20"/>
          </w:rPr>
          <w:t>333-297406</w:t>
        </w:r>
      </w:hyperlink>
      <w:r>
        <w:rPr>
          <w:rFonts w:ascii="Times New Roman;Times;Serif" w:hAnsi="Times New Roman;Times;Serif"/>
          <w:b w:val="false"/>
          <w:i w:val="false"/>
          <w:caps w:val="false"/>
          <w:smallCaps w:val="false"/>
          <w:sz w:val="20"/>
        </w:rPr>
        <w:t xml:space="preserve"> and </w:t>
      </w:r>
      <w:hyperlink r:id="rId3">
        <w:r>
          <w:rPr>
            <w:rStyle w:val="InternetLink"/>
            <w:rFonts w:ascii="Times New Roman;Times;Serif" w:hAnsi="Times New Roman;Times;Serif"/>
            <w:b w:val="false"/>
            <w:i w:val="false"/>
            <w:caps w:val="false"/>
            <w:smallCaps w:val="false"/>
            <w:sz w:val="20"/>
          </w:rPr>
          <w:t>333-286705</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333-283532) and into each prospectus outstanding under the foregoing registration statements, to the extent not superseded by documents or reports subsequently filed or furnished by the Company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7930" w:type="dxa"/>
        <w:jc w:val="left"/>
        <w:tblInd w:w="0" w:type="dxa"/>
        <w:tblLayout w:type="fixed"/>
        <w:tblCellMar>
          <w:top w:w="0" w:type="dxa"/>
          <w:left w:w="0" w:type="dxa"/>
          <w:bottom w:w="28" w:type="dxa"/>
          <w:right w:w="0" w:type="dxa"/>
        </w:tblCellMar>
      </w:tblPr>
      <w:tblGrid>
        <w:gridCol w:w="995"/>
        <w:gridCol w:w="60"/>
        <w:gridCol w:w="687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87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tcMar>
              <w:bottom w:w="0" w:type="dxa"/>
            </w:tcMar>
            <w:vAlign w:val="center"/>
          </w:tcPr>
          <w:p>
            <w:pPr>
              <w:pStyle w:val="TableContents"/>
              <w:bidi w:val="0"/>
              <w:spacing w:before="0" w:after="283"/>
              <w:jc w:val="left"/>
              <w:rPr/>
            </w:pPr>
            <w:r>
              <w:rPr/>
              <w:t> </w:t>
            </w:r>
          </w:p>
        </w:tc>
        <w:tc>
          <w:tcPr>
            <w:tcW w:w="6875" w:type="dxa"/>
            <w:tcBorders/>
            <w:tcMar>
              <w:bottom w:w="0" w:type="dxa"/>
            </w:tcMar>
            <w:vAlign w:val="center"/>
          </w:tcPr>
          <w:p>
            <w:pPr>
              <w:pStyle w:val="TableContents"/>
              <w:bidi w:val="0"/>
              <w:spacing w:lineRule="auto" w:line="276" w:before="0" w:after="283"/>
              <w:jc w:val="left"/>
              <w:rPr/>
            </w:pPr>
            <w:hyperlink w:anchor="yforex99-1.htm">
              <w:r>
                <w:rPr>
                  <w:rStyle w:val="InternetLink"/>
                  <w:rFonts w:ascii="Times New Roman;Times;Serif" w:hAnsi="Times New Roman;Times;Serif"/>
                  <w:sz w:val="20"/>
                </w:rPr>
                <w:t>Amendment to the Amended and Restated Memorandum and Articles of Association</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99.2 </w:t>
            </w:r>
          </w:p>
        </w:tc>
        <w:tc>
          <w:tcPr>
            <w:tcW w:w="60" w:type="dxa"/>
            <w:tcBorders/>
            <w:tcMar>
              <w:bottom w:w="0" w:type="dxa"/>
            </w:tcMar>
            <w:vAlign w:val="center"/>
          </w:tcPr>
          <w:p>
            <w:pPr>
              <w:pStyle w:val="TableContents"/>
              <w:bidi w:val="0"/>
              <w:spacing w:before="0" w:after="283"/>
              <w:jc w:val="left"/>
              <w:rPr/>
            </w:pPr>
            <w:r>
              <w:rPr/>
              <w:t> </w:t>
            </w:r>
          </w:p>
        </w:tc>
        <w:tc>
          <w:tcPr>
            <w:tcW w:w="6875" w:type="dxa"/>
            <w:tcBorders/>
            <w:tcMar>
              <w:bottom w:w="0" w:type="dxa"/>
            </w:tcMar>
            <w:vAlign w:val="center"/>
          </w:tcPr>
          <w:p>
            <w:pPr>
              <w:pStyle w:val="TableContents"/>
              <w:bidi w:val="0"/>
              <w:spacing w:before="0" w:after="283"/>
              <w:jc w:val="both"/>
              <w:rPr/>
            </w:pPr>
            <w:hyperlink w:anchor="yforex99-2.htm">
              <w:r>
                <w:rPr>
                  <w:rStyle w:val="InternetLink"/>
                  <w:rFonts w:ascii="Times New Roman;Times;Serif" w:hAnsi="Times New Roman;Times;Serif"/>
                  <w:sz w:val="20"/>
                </w:rPr>
                <w:t>Press Released dated August 31,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510" w:type="dxa"/>
        <w:jc w:val="left"/>
        <w:tblInd w:w="0" w:type="dxa"/>
        <w:tblLayout w:type="fixed"/>
        <w:tblCellMar>
          <w:top w:w="0" w:type="dxa"/>
          <w:left w:w="0" w:type="dxa"/>
          <w:bottom w:w="0" w:type="dxa"/>
          <w:right w:w="0" w:type="dxa"/>
        </w:tblCellMar>
      </w:tblPr>
      <w:tblGrid>
        <w:gridCol w:w="2030"/>
        <w:gridCol w:w="590"/>
        <w:gridCol w:w="3890"/>
      </w:tblGrid>
      <w:tr>
        <w:trPr/>
        <w:tc>
          <w:tcPr>
            <w:tcW w:w="2030" w:type="dxa"/>
            <w:tcBorders/>
            <w:vAlign w:val="center"/>
          </w:tcPr>
          <w:p>
            <w:pPr>
              <w:pStyle w:val="TableContents"/>
              <w:bidi w:val="0"/>
              <w:spacing w:before="0" w:after="283"/>
              <w:jc w:val="left"/>
              <w:rPr/>
            </w:pPr>
            <w:r>
              <w:rPr/>
              <w:t> </w:t>
            </w:r>
          </w:p>
        </w:tc>
        <w:tc>
          <w:tcPr>
            <w:tcW w:w="44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YYForce Inc.</w:t>
            </w:r>
          </w:p>
        </w:tc>
      </w:tr>
      <w:tr>
        <w:trPr/>
        <w:tc>
          <w:tcPr>
            <w:tcW w:w="20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8,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Fu Xiaowei</w:t>
            </w:r>
          </w:p>
        </w:tc>
      </w:tr>
      <w:tr>
        <w:trPr/>
        <w:tc>
          <w:tcPr>
            <w:tcW w:w="20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 Xiaowei</w:t>
            </w:r>
          </w:p>
        </w:tc>
      </w:tr>
      <w:tr>
        <w:trPr/>
        <w:tc>
          <w:tcPr>
            <w:tcW w:w="20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Chairman and Director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479" w:right="0" w:hanging="0"/>
        <w:jc w:val="right"/>
        <w:rPr>
          <w:rFonts w:ascii="Times New Roman;Times;Serif" w:hAnsi="Times New Roman;Times;Serif"/>
          <w:b/>
          <w:i w:val="false"/>
          <w:caps w:val="false"/>
          <w:smallCaps w:val="false"/>
          <w:sz w:val="20"/>
        </w:rPr>
      </w:pPr>
      <w:bookmarkStart w:id="2" w:name="yforex99-1.htm"/>
      <w:bookmarkStart w:id="3" w:name="ksyfor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479"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 xml:space="preserve">EXTRACT FOR FILING WITH THE BVI REGISTRAR BY THE COMPANY’S REGISTERED </w:t>
      </w:r>
      <w:r>
        <w:rPr>
          <w:rFonts w:ascii="Times New Roman;Times;Serif" w:hAnsi="Times New Roman;Times;Serif"/>
          <w:b w:val="false"/>
          <w:i w:val="false"/>
          <w:caps w:val="false"/>
          <w:smallCaps w:val="false"/>
          <w:spacing w:val="-2"/>
          <w:sz w:val="20"/>
          <w:u w:val="single"/>
        </w:rPr>
        <w:t>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YY Group Holding Limited (the </w:t>
      </w:r>
      <w:r>
        <w:rPr>
          <w:rFonts w:ascii="Times New Roman;Times;Serif" w:hAnsi="Times New Roman;Times;Serif"/>
          <w:b/>
          <w:i w:val="false"/>
          <w:caps w:val="false"/>
          <w:smallCaps w:val="false"/>
          <w:spacing w:val="-2"/>
          <w:sz w:val="20"/>
        </w:rPr>
        <w:t>Company)</w:t>
      </w:r>
    </w:p>
    <w:p>
      <w:pPr>
        <w:pStyle w:val="TextBody"/>
        <w:bidi w:val="0"/>
        <w:spacing w:before="0" w:after="0"/>
        <w:ind w:left="0" w:right="0" w:hanging="0"/>
        <w:jc w:val="both"/>
        <w:rPr>
          <w:caps w:val="false"/>
          <w:smallCaps w:val="false"/>
          <w:spacing w:val="-2"/>
        </w:rPr>
      </w:pPr>
      <w:r>
        <w:rPr>
          <w:caps w:val="false"/>
          <w:smallCaps w:val="false"/>
          <w:spacing w:val="-2"/>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COPY EXTRACT OF WRITTEN RESOLUTIONS ADOPTED BY THE COMPANY’S BOARD OF DIRECTORS PURSUANT TO THE MEMORANDUM AND ARTICLES OF ASSOCIATION OF THE COMPANY, DATED ………. AUGUST 2026</w:t>
      </w:r>
    </w:p>
    <w:p>
      <w:pPr>
        <w:pStyle w:val="TextBody"/>
        <w:bidi w:val="0"/>
        <w:spacing w:before="0" w:after="0"/>
        <w:ind w:left="357" w:right="357"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 IS RESOLVED THAT WITH EFFECT FROM THE DATE OF THESE </w:t>
      </w:r>
      <w:r>
        <w:rPr>
          <w:rFonts w:ascii="Times New Roman;Times;Serif" w:hAnsi="Times New Roman;Times;Serif"/>
          <w:b/>
          <w:i w:val="false"/>
          <w:caps w:val="false"/>
          <w:smallCaps w:val="false"/>
          <w:spacing w:val="-2"/>
          <w:sz w:val="20"/>
        </w:rPr>
        <w:t>RESOLUTIONS: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1"/>
                <w:sz w:val="20"/>
              </w:rPr>
            </w:pPr>
            <w:r>
              <w:rPr>
                <w:rFonts w:ascii="Times New Roman;Times;Serif" w:hAnsi="Times New Roman;Times;Serif"/>
                <w:b w:val="false"/>
                <w:i w:val="false"/>
                <w:caps w:val="false"/>
                <w:smallCaps w:val="false"/>
                <w:spacing w:val="-1"/>
                <w:sz w:val="20"/>
              </w:rPr>
              <w:t>1.</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registration by the BVI Registrar of Corporate Affairs, Clause 2 of the Company’s memorandum of association be deleted in its entirety and replaced with the following: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pacing w:val="-5"/>
        </w:rPr>
        <w:t>“</w:t>
      </w:r>
      <w:r>
        <w:rPr>
          <w:rFonts w:ascii="Times New Roman;Times;Serif" w:hAnsi="Times New Roman;Times;Serif"/>
          <w:b/>
          <w:i/>
          <w:caps w:val="false"/>
          <w:smallCaps w:val="false"/>
          <w:spacing w:val="-5"/>
          <w:sz w:val="20"/>
        </w:rPr>
        <w:t>2.</w:t>
      </w:r>
      <w:r>
        <w:rPr>
          <w:rFonts w:ascii="Times New Roman;Times;Serif" w:hAnsi="Times New Roman;Times;Serif"/>
          <w:b/>
          <w:i/>
          <w:caps w:val="false"/>
          <w:smallCaps w:val="false"/>
          <w:sz w:val="20"/>
        </w:rPr>
        <w:t xml:space="preserve"> </w:t>
      </w:r>
      <w:r>
        <w:rPr>
          <w:rFonts w:ascii="Times New Roman;Times;Serif" w:hAnsi="Times New Roman;Times;Serif"/>
          <w:b/>
          <w:i/>
          <w:caps w:val="false"/>
          <w:smallCaps w:val="false"/>
          <w:spacing w:val="-4"/>
          <w:sz w:val="20"/>
        </w:rPr>
        <w:t>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name of the Company is YYForce </w:t>
      </w:r>
      <w:r>
        <w:rPr>
          <w:rFonts w:ascii="Times New Roman;Times;Serif" w:hAnsi="Times New Roman;Times;Serif"/>
          <w:b w:val="false"/>
          <w:i/>
          <w:caps w:val="false"/>
          <w:smallCaps w:val="false"/>
          <w:spacing w:val="-2"/>
          <w:sz w:val="20"/>
        </w:rPr>
        <w:t>Inc..”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1"/>
                <w:sz w:val="20"/>
              </w:rPr>
            </w:pPr>
            <w:r>
              <w:rPr>
                <w:rFonts w:ascii="Times New Roman;Times;Serif" w:hAnsi="Times New Roman;Times;Serif"/>
                <w:b w:val="false"/>
                <w:i w:val="false"/>
                <w:caps w:val="false"/>
                <w:smallCaps w:val="false"/>
                <w:spacing w:val="-1"/>
                <w:sz w:val="20"/>
              </w:rPr>
              <w:t>2.</w:t>
            </w:r>
          </w:p>
        </w:tc>
        <w:tc>
          <w:tcPr>
            <w:tcW w:w="100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registered agent is authorised and directed to make any necessary filing with the BVI Registrar of Corporate Affairs in connection with these resolutions.</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yforex99-2.htm"/>
      <w:bookmarkStart w:id="5" w:name="ksyforex992"/>
      <w:bookmarkEnd w:id="4"/>
      <w:bookmarkEnd w:id="5"/>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Group Enters New Era as YYForce, Expanding AI, Automation and Human-Robot Workforce Strategy; Nasdaq Ticker Changes to “YFOR”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name reflects evolution into automation and AI-enabled workforce management and integrated facility management (IFM) infrastructure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Trading under new ticker symbol YFOR expected to commence September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Aug. 31, 2026 /PRNewswire/ -- YY Group Holding Limited (NASDAQ: </w:t>
      </w:r>
      <w:r>
        <w:rPr>
          <w:rFonts w:ascii="Times New Roman;Times;Serif" w:hAnsi="Times New Roman;Times;Serif"/>
          <w:b/>
          <w:i w:val="false"/>
          <w:caps w:val="false"/>
          <w:smallCaps w:val="false"/>
          <w:sz w:val="20"/>
        </w:rPr>
        <w:t>YYGH</w:t>
      </w:r>
      <w:r>
        <w:rPr>
          <w:rFonts w:ascii="Times New Roman;Times;Serif" w:hAnsi="Times New Roman;Times;Serif"/>
          <w:b w:val="false"/>
          <w:i w:val="false"/>
          <w:caps w:val="false"/>
          <w:smallCaps w:val="false"/>
          <w:sz w:val="20"/>
        </w:rPr>
        <w:t>) (the “Company”), an AI-enabled workforce management platform and integrated facility management (IFM) provider operating across Asia and beyond, today announced a corporate rebranding to YYForce Inc. (“YYForce”) and Nasdaq ticker symbol change to “YFOR.”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4324350" cy="1495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4324350" cy="14954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YYForce’s new corporate logo and tagline, “Forging Forward Together.”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operate under the name “YYForce Inc.” from September 2, 2026. The corporate name and ticker symbol change are also expected to become effective with Nasdaq on September 2, 2026, with the Company’s Class A ordinary shares expected to begin trading on the Nasdaq Capital Market under the new ticker symbol “YFOR” at the open of business on the same day. Until that date, the Company’s Class A ordinary shares will continue to trade under the ticker symbol “YYGH.” No action is required by existing shareholders with respect to the name change or ticker update. Outstanding stock certificates representing shares of YY Group Holding Limited will remain valid and do not need to be exchanged. The Company’s ISIN number will remain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chose the name YY Group when our business was focused on regional workforce solutions,” said Mike Fu, CEO of YY Group. “We’ve since scaled rapidly into an AI-enabled, international platform infrastructure company, offering a vast human capital network, integrated IFM services, human-robot co-working models, and intelligent software that helps our clients run their businesses and properties more efficiently. Our corporate identity must evolve in parallel. We believe the name “YYForce” reflects our global growth momentum, our expanding footprint across workforce management, IFM, and commercial automation, and our dedication to driving value creation for our clients, partners, and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Alongside the name change, YYForce has unveiled a new corporate identity, including a refreshed logo and the tagline, “Forging Forward Together.” The updated identity will roll out across the Company’s investor relations materials, digital platforms, and site signage over the coming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rebranding does not affect the Company’s operations, management, business strategy, or the rights of its shareholders. Existing customer contracts, purchase orders, and supplier agreements will remain in force. Effective September 2, 2026, the corporate investor relations website will be updated to reflect the new brand identity at </w:t>
      </w:r>
      <w:r>
        <w:rPr>
          <w:rFonts w:ascii="Times New Roman;Times;Serif" w:hAnsi="Times New Roman;Times;Serif"/>
          <w:b/>
          <w:i w:val="false"/>
          <w:caps w:val="false"/>
          <w:smallCaps w:val="false"/>
          <w:sz w:val="20"/>
        </w:rPr>
        <w:t>www.yyforce.ai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YY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Group Holding Limited (Nasdaq: </w:t>
      </w:r>
      <w:r>
        <w:rPr>
          <w:rFonts w:ascii="Times New Roman;Times;Serif" w:hAnsi="Times New Roman;Times;Serif"/>
          <w:b/>
          <w:i w:val="false"/>
          <w:caps w:val="false"/>
          <w:smallCaps w:val="false"/>
          <w:sz w:val="20"/>
        </w:rPr>
        <w:t>YYGH</w:t>
      </w:r>
      <w:r>
        <w:rPr>
          <w:rFonts w:ascii="Times New Roman;Times;Serif" w:hAnsi="Times New Roman;Times;Serif"/>
          <w:b w:val="false"/>
          <w:i w:val="false"/>
          <w:caps w:val="false"/>
          <w:smallCaps w:val="false"/>
          <w:sz w:val="20"/>
        </w:rPr>
        <w:t>), is an AI-enabled workforce management platform and integrated facility management (IFM) provider, headquartered in Singapore and operating across Asia and beyond. The Company’s intelligent workforce solutions platform, YY Circle, helps clients across hospitality, food and beverage, retail, and other service sectors predict, plan, and optimize workforce deployment. In YY Group’s IFM business, its 24IFM software platform and comprehensive IFM subsidiary portfolio support clients across hospitality, transportation, banking, retail, and mixed-use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both business lines scale, the Company is systematically embedding AI and automation capabilities – progressing from intelligent decision support toward increasingly autonomous workforce management – to improve service quality, reduce deployment costs, and drive long-term margin expansion. Listed on the Nasdaq Capital Market, YY Group is committed to infrastructure innovation, measurable client outcomes, and long-term value creation.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The Company bases these forward-looking statements on its expectations and projections about future events, which the Company derives from the information currently available to it. You can identify forward-looking statements by those that are not historical in nature, particularly those that use terminology such as “may,” “should,” “expects,” “anticipates,” “contemplates,” “estimates,” “believes,” “plans,” “projected,” “predicts,” “potential,” or “hopes” or the negative of these or similar terms. Forward-looking statements involve inherent risks and uncertainties, and the forward-looking events discussed in this press release may not occur, and actual events and results may differ materially and are subject to risks, uncertainties, and assumptions about the Company and a number of factors. These factors include, but are not limited to, the Company’s goals and strategies; the Company’s future business development, financial condition and results of operations, including the introduction of new products and services, expected changes in the Company’s revenues, costs and expenditures, anticipated customer growth, and demand for and market acceptance of the Company’s products and services; and industry, market and regulatory conditions, including competition, government policies and regulations affecting the Company’s industry, and other factors that may affect the Company’s financial condition, liquidity and results of operations. For a more detailed discussion of risk factors, please refer to the Company’s filings with the Securities and Exchange Commission, including the “Risk Factors” section of the Company’s most recent annual report on Form 20-F,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Zhi Yong Phua, Chief Financial Officer</w:t>
        <w:br/>
        <w:t>YY Group Holding Limited</w:t>
        <w:br/>
      </w:r>
      <w:r>
        <w:rPr>
          <w:rFonts w:ascii="Times New Roman;Times;Serif" w:hAnsi="Times New Roman;Times;Serif"/>
          <w:b/>
          <w:i w:val="false"/>
          <w:caps w:val="false"/>
          <w:smallCaps w:val="false"/>
          <w:sz w:val="20"/>
        </w:rPr>
        <w:t>enquiries@yyforce.ai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YY Group Holding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85337/000118518526002899/yyghf3070926.htm" TargetMode="External"/><Relationship Id="rId3" Type="http://schemas.openxmlformats.org/officeDocument/2006/relationships/hyperlink" Target="https://www.sec.gov/Archives/edgar/data/1985337/000121390025034645/ea0238787-f3_yygroup.htm" TargetMode="External"/><Relationship Id="rId4" Type="http://schemas.openxmlformats.org/officeDocument/2006/relationships/hyperlink" Target="http://www.sec.gov/Archives/edgar/data/1985337/000121390024104096/ea0222154-s8_yygroup.htm"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1414</Words>
  <Characters>8144</Characters>
  <CharactersWithSpaces>9577</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