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YY Group Holding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each with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Kenneth Schlesinger, Esq.</w:t>
              <w:br/>
              <w:t>Olshan Frome Wolosky LLP, 1325 Avenue of the Americas</w:t>
              <w:br/>
              <w:t>New York, NY, 10019</w:t>
              <w:br/>
              <w:t>212-451-2300</w:t>
            </w:r>
          </w:p>
          <w:p>
            <w:pPr>
              <w:pStyle w:val="TableContents"/>
              <w:bidi w:val="0"/>
              <w:jc w:val="left"/>
              <w:rPr/>
            </w:pPr>
            <w:r>
              <w:rPr/>
            </w:r>
          </w:p>
          <w:p>
            <w:pPr>
              <w:pStyle w:val="TableContents"/>
              <w:bidi w:val="0"/>
              <w:spacing w:before="0" w:after="0"/>
              <w:jc w:val="center"/>
              <w:rPr>
                <w:b/>
                <w:color w:val="0000FF"/>
              </w:rPr>
            </w:pPr>
            <w:r>
              <w:rPr>
                <w:b/>
                <w:color w:val="0000FF"/>
              </w:rPr>
              <w:t>Andrew J. Astore,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Hyperscale Data, Inc.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317,583.00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317,583.00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317,583.00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Alpha Structured Finance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84,983.00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84,983.00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84,983.00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Alpha Structured Finance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84,983.00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84,983.00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84,983.00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ACG Alpha Management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84,983.00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84,983.00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84,983.00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9"/>
        <w:gridCol w:w="8076"/>
      </w:tblGrid>
      <w:tr>
        <w:trPr/>
        <w:tc>
          <w:tcPr>
            <w:tcW w:w="2129" w:type="dxa"/>
            <w:tcBorders/>
            <w:vAlign w:val="center"/>
          </w:tcPr>
          <w:p>
            <w:pPr>
              <w:pStyle w:val="TableContents"/>
              <w:bidi w:val="0"/>
              <w:spacing w:before="0" w:after="283"/>
              <w:jc w:val="left"/>
              <w:rPr/>
            </w:pPr>
            <w:r>
              <w:rPr/>
              <w:t>1</w:t>
            </w:r>
          </w:p>
        </w:tc>
        <w:tc>
          <w:tcPr>
            <w:tcW w:w="807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Lending, LLC</w:t>
            </w:r>
          </w:p>
        </w:tc>
      </w:tr>
      <w:tr>
        <w:trPr/>
        <w:tc>
          <w:tcPr>
            <w:tcW w:w="2129" w:type="dxa"/>
            <w:tcBorders/>
            <w:vAlign w:val="center"/>
          </w:tcPr>
          <w:p>
            <w:pPr>
              <w:pStyle w:val="TableContents"/>
              <w:bidi w:val="0"/>
              <w:spacing w:before="0" w:after="283"/>
              <w:jc w:val="left"/>
              <w:rPr/>
            </w:pPr>
            <w:r>
              <w:rPr/>
              <w:t>2</w:t>
            </w:r>
          </w:p>
        </w:tc>
        <w:tc>
          <w:tcPr>
            <w:tcW w:w="80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9" w:type="dxa"/>
            <w:tcBorders/>
            <w:vAlign w:val="center"/>
          </w:tcPr>
          <w:p>
            <w:pPr>
              <w:pStyle w:val="TableContents"/>
              <w:bidi w:val="0"/>
              <w:spacing w:before="0" w:after="283"/>
              <w:jc w:val="left"/>
              <w:rPr/>
            </w:pPr>
            <w:r>
              <w:rPr/>
              <w:t>3</w:t>
            </w:r>
          </w:p>
        </w:tc>
        <w:tc>
          <w:tcPr>
            <w:tcW w:w="8076" w:type="dxa"/>
            <w:tcBorders/>
            <w:vAlign w:val="center"/>
          </w:tcPr>
          <w:p>
            <w:pPr>
              <w:pStyle w:val="TableContents"/>
              <w:bidi w:val="0"/>
              <w:spacing w:before="0" w:after="283"/>
              <w:jc w:val="left"/>
              <w:rPr/>
            </w:pPr>
            <w:r>
              <w:rPr/>
              <w:t>SEC use only</w:t>
            </w:r>
          </w:p>
        </w:tc>
      </w:tr>
      <w:tr>
        <w:trPr/>
        <w:tc>
          <w:tcPr>
            <w:tcW w:w="2129" w:type="dxa"/>
            <w:tcBorders/>
            <w:vAlign w:val="center"/>
          </w:tcPr>
          <w:p>
            <w:pPr>
              <w:pStyle w:val="TableContents"/>
              <w:bidi w:val="0"/>
              <w:spacing w:before="0" w:after="283"/>
              <w:jc w:val="left"/>
              <w:rPr/>
            </w:pPr>
            <w:r>
              <w:rPr/>
              <w:t>4</w:t>
            </w:r>
          </w:p>
        </w:tc>
        <w:tc>
          <w:tcPr>
            <w:tcW w:w="807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9" w:type="dxa"/>
            <w:tcBorders/>
            <w:vAlign w:val="center"/>
          </w:tcPr>
          <w:p>
            <w:pPr>
              <w:pStyle w:val="TableContents"/>
              <w:bidi w:val="0"/>
              <w:spacing w:before="0" w:after="283"/>
              <w:jc w:val="left"/>
              <w:rPr/>
            </w:pPr>
            <w:r>
              <w:rPr/>
              <w:t>5</w:t>
            </w:r>
          </w:p>
        </w:tc>
        <w:tc>
          <w:tcPr>
            <w:tcW w:w="807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6</w:t>
            </w:r>
          </w:p>
        </w:tc>
        <w:tc>
          <w:tcPr>
            <w:tcW w:w="80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2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232,600.00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232,600.00</w:t>
                  </w:r>
                </w:p>
              </w:tc>
            </w:tr>
          </w:tbl>
          <w:p>
            <w:pPr>
              <w:pStyle w:val="TableContents"/>
              <w:bidi w:val="0"/>
              <w:spacing w:before="0" w:after="283"/>
              <w:jc w:val="left"/>
              <w:rPr/>
            </w:pPr>
            <w:r>
              <w:rPr/>
            </w:r>
          </w:p>
        </w:tc>
        <w:tc>
          <w:tcPr>
            <w:tcW w:w="8076"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center"/>
          </w:tcPr>
          <w:p>
            <w:pPr>
              <w:pStyle w:val="TableContents"/>
              <w:bidi w:val="0"/>
              <w:spacing w:before="0" w:after="283"/>
              <w:jc w:val="left"/>
              <w:rPr/>
            </w:pPr>
            <w:r>
              <w:rPr/>
              <w:t>11</w:t>
            </w:r>
          </w:p>
        </w:tc>
        <w:tc>
          <w:tcPr>
            <w:tcW w:w="80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232,600.00</w:t>
            </w:r>
          </w:p>
        </w:tc>
      </w:tr>
      <w:tr>
        <w:trPr/>
        <w:tc>
          <w:tcPr>
            <w:tcW w:w="2129" w:type="dxa"/>
            <w:tcBorders/>
            <w:vAlign w:val="center"/>
          </w:tcPr>
          <w:p>
            <w:pPr>
              <w:pStyle w:val="TableContents"/>
              <w:bidi w:val="0"/>
              <w:spacing w:before="0" w:after="283"/>
              <w:jc w:val="left"/>
              <w:rPr/>
            </w:pPr>
            <w:r>
              <w:rPr/>
              <w:t>12</w:t>
            </w:r>
          </w:p>
        </w:tc>
        <w:tc>
          <w:tcPr>
            <w:tcW w:w="807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13</w:t>
            </w:r>
          </w:p>
        </w:tc>
        <w:tc>
          <w:tcPr>
            <w:tcW w:w="807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7.3 % </w:t>
            </w:r>
          </w:p>
        </w:tc>
      </w:tr>
      <w:tr>
        <w:trPr/>
        <w:tc>
          <w:tcPr>
            <w:tcW w:w="2129" w:type="dxa"/>
            <w:tcBorders/>
            <w:vAlign w:val="center"/>
          </w:tcPr>
          <w:p>
            <w:pPr>
              <w:pStyle w:val="TableContents"/>
              <w:bidi w:val="0"/>
              <w:spacing w:before="0" w:after="283"/>
              <w:jc w:val="left"/>
              <w:rPr/>
            </w:pPr>
            <w:r>
              <w:rPr/>
              <w:t>14</w:t>
            </w:r>
          </w:p>
        </w:tc>
        <w:tc>
          <w:tcPr>
            <w:tcW w:w="80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Capital Group,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317,583.00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317,583.00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317,583.00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AULT MILTON C III</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317,583.00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317,583.00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319,917.00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each with no par value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YY Group Holding Ltd.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PAYA LEBAR ROAD #05-43 PAYA LEBAR SQ, SINGAPORE, SINGAPORE , SINGAPORE.</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(this "Amendment No. 8") amends the statement on Schedule 13D originally filed by the Reporting Persons on April 15, 2026, as amended (the "Schedule 13D"), and relates to the Class A Ordinary Shares, each with no par value, of YY Group Holding Ltd. Except as specifically provided herein, this Amendment No. 8 does not modify any of the information previously reported in the Schedule 13D. Unless otherwise indicated, each capitalized term used but not defined in this Amendment No. 8 shall have the meaning assigned to such term in the Schedule 13D.</w:t>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Item 3 is hereby amended and restated as follows: The aggregate purchase price of the 84,983 Shares beneficially owned by Alpha Fund that were purchased directly by Alpha Fund with working capital (which may, at any given time, include margin loans made by brokerage firms in the ordinary course of business) in open market purchases is approximately $396,628, including brokerage commissions. The aggregate purchase price of the 232,600 Shares beneficially owned by Ault Lending that were purchased directly by Ault Lending with working capital (which may, at any given time, include margin loans made by brokerage firms in the ordinary course of business) in open market purchases is approximately $453,736, including brokerage commissions. The aggregate purchase price of the 2,334 Shares beneficially owned by Mr. Ault that were purchased directly by Mr. Ault with personal funds (which may, at any given time, include margin loans made by brokerage firms in the ordinary course of business) in open market purchases is $7,484,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Item 5(a) is hereby amended and restated as follows: The aggregate percentage of Shares reported beneficially owned by the Reporting Person is based upon an estimated 3,201,722 Shares outstanding as of June 16, 2026, after giving effect to the Reverse Stock Split (as defined below)), calculated based upon a total of 96,051,645 Shares outstanding as of June 16, 2026 (without giving effect to the Reverse Stock Split), as reported by the Issuer in its Form 6-K filed with the Securities and Exchange Commission (the "SEC") on June 16, 2026. Except as otherwise expressly set forth in this Amendment No. 8, all amount of Shares reported in this Amendment 8, reflect and give effect to the Issuer's 1:30 reverse stock split, effective on June 23, 2026 (the "Reverse Stock Split"), as reported by the Issuer in the Form 6-K filed with the SEC on June 24, 2026. As of the date hereof, Hyperscale, as the majority holder of the equity interests of Ault Capital, may be deemed to beneficially own the 317,583 Shares beneficially owned in the aggregate by Alpha Fund and Ault Lending. Percentage: 9.9% As of the date hereof, Alpha Fund beneficially owned 84,983 Shares. Percentage: 2.7% As of the date hereof, Alpha GP, as the general partner of Alpha Fund, may be deemed to beneficially own the 84,983 Shares beneficially owned by Alpha Fund. Percentage: 2.7% As of the date hereof, Alpha Management, as the investment manager of Alpha Fund, may be deemed to beneficially own the 84,983 Shares beneficially owned by Alpha Fund. Percentage: 2.7% As of the date hereof, Ault Lending beneficially owned 232,600 Shares. Percentage: 7.3% As of the date hereof, Ault Capital, as the majority holder of the equity interests of Alpha Management and Ault Lending, may be deemed to beneficially own the 317,583 Shares beneficially owned in the aggregate by Alpha Fund and Ault Lending. Percentage: 9.9% As of the date hereof, Mr. Ault beneficially owned 319,917 Shares, including the 2,334 Shares beneficially owned directly, and the 317,583 Shares beneficially owned in the aggregate by Alpha Fund and Ault Lending that, as the CEO and Chief Investment Officer of Alpha Management, Executive Chairman of Ault Capital, and the Executive Chairman of Hyperscale, Mr. Ault may be deemed to beneficially own. Percentage: 10.0%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Item 5(b) is hereby amended and restated as follows: Hyperscale: 1. Sole power to vote or direct vote: 0 2. Shared power to vote or direct vote: 317,583 3. Sole power to dispose or direct the disposition: 0 4. Shared power to dispose or direct the disposition: 317,583 Alpha Fund: 1. Sole power to vote or direct vote: 0 2. Shared power to vote or direct vote: 84,983 3. Sole power to dispose or direct the disposition: 0 4. Shared power to dispose or direct the disposition: 84,983 Alpha GP: 1. Sole power to vote or direct vote: 0 2. Shared power to vote or direct vote: 84,983 3. Sole power to dispose or direct the disposition: 0 4. Shared power to dispose or direct the disposition: 84,983 Alpha Management: 1. Sole power to vote or direct vote: 0 2. Shared power to vote or direct vote: 84,983 3. Sole power to dispose or direct the disposition: 0 4. Shared power to dispose or direct the disposition: 84,983 Ault Lending: 1. Sole power to vote or direct vote: 0 2. Shared power to vote or direct vote: 232,600 3. Sole power to dispose or direct the disposition: 0 4. Shared power to dispose or direct the disposition: 232,600 Ault Capital: 1. Sole power to vote or direct vote: 0 2. Shared power to vote or direct vote: 317,583 3. Sole power to dispose or direct the disposition: 0 4. Shared power to dispose or direct the disposition: 317,583 Mr. Ault: 1. Sole power to vote or direct vote: 2,334 2. Shared power to vote or direct vote: 317,583 3. Sole power to dispose or direct the disposition: 2,334 4. Shared power to dispose or direct the disposition: 317,583</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Item 5(c) is hereby amended and restated as follows: None of the Reporting Persons have engaged in any transactions in the Shares since the filing of Amendment No. 7 except as set forth in Exhibit 1 hereto.</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Exhibit 1 - Transactions in Securities of the Issuer Since the Filing of Amendment No. 7.</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Hyperscale Data, Inc.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Executive Chairman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Alpha Structured Finance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Milton C. Ault, III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Milton C. Ault, III, CEO and Chief Investment Officer of its 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Alpha Structured Finance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CEO and Chief Investment Officer of its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ACG Alpha Management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Milton C. Ault, III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Milton C. Ault, III, CEO and 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Ault Lending, LLC</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David J. Katzoff</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David J. Katzoff,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Ault Capital Group, Inc.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Milton C. Ault, III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Milton C. Ault, III, Executive Chairman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AULT MILTON C III</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Milton C. Ault, III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Milton C. Ault, III</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8" w:name="ex1to13da812570023_070726.htm"/>
      <w:bookmarkStart w:id="39" w:name="ksex1to13da812570023_070726"/>
      <w:bookmarkEnd w:id="38"/>
      <w:bookmarkEnd w:id="39"/>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7</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Ault Lending, LLC</w:t>
      </w:r>
    </w:p>
    <w:tbl>
      <w:tblPr>
        <w:tblW w:w="5255" w:type="dxa"/>
        <w:jc w:val="left"/>
        <w:tblInd w:w="0" w:type="dxa"/>
        <w:tblLayout w:type="fixed"/>
        <w:tblCellMar>
          <w:top w:w="0" w:type="dxa"/>
          <w:left w:w="0" w:type="dxa"/>
          <w:bottom w:w="0" w:type="dxa"/>
          <w:right w:w="0" w:type="dxa"/>
        </w:tblCellMar>
      </w:tblPr>
      <w:tblGrid>
        <w:gridCol w:w="2690"/>
        <w:gridCol w:w="680"/>
        <w:gridCol w:w="770"/>
        <w:gridCol w:w="1115"/>
      </w:tblGrid>
      <w:tr>
        <w:trPr/>
        <w:tc>
          <w:tcPr>
            <w:tcW w:w="2690" w:type="dxa"/>
            <w:tcBorders/>
            <w:shd w:fill="CCEEFF" w:val="clear"/>
            <w:vAlign w:val="center"/>
          </w:tcPr>
          <w:p>
            <w:pPr>
              <w:pStyle w:val="TableContents"/>
              <w:bidi w:val="0"/>
              <w:spacing w:before="0" w:after="283"/>
              <w:jc w:val="left"/>
              <w:rPr/>
            </w:pPr>
            <w:r>
              <w:rPr/>
              <w:t>Purchase of Common Stock</w:t>
            </w:r>
          </w:p>
        </w:tc>
        <w:tc>
          <w:tcPr>
            <w:tcW w:w="680" w:type="dxa"/>
            <w:tcBorders/>
            <w:shd w:fill="CCEEFF" w:val="clear"/>
            <w:vAlign w:val="center"/>
          </w:tcPr>
          <w:p>
            <w:pPr>
              <w:pStyle w:val="TableContents"/>
              <w:bidi w:val="0"/>
              <w:spacing w:before="0" w:after="283"/>
              <w:jc w:val="center"/>
              <w:rPr/>
            </w:pPr>
            <w:r>
              <w:rPr/>
              <w:t>10,000</w:t>
            </w:r>
          </w:p>
        </w:tc>
        <w:tc>
          <w:tcPr>
            <w:tcW w:w="770" w:type="dxa"/>
            <w:tcBorders/>
            <w:shd w:fill="CCEEFF" w:val="clear"/>
            <w:vAlign w:val="center"/>
          </w:tcPr>
          <w:p>
            <w:pPr>
              <w:pStyle w:val="TableContents"/>
              <w:bidi w:val="0"/>
              <w:spacing w:before="0" w:after="283"/>
              <w:jc w:val="center"/>
              <w:rPr/>
            </w:pPr>
            <w:r>
              <w:rPr/>
              <w:t>1.7100</w:t>
            </w:r>
          </w:p>
        </w:tc>
        <w:tc>
          <w:tcPr>
            <w:tcW w:w="1115" w:type="dxa"/>
            <w:tcBorders/>
            <w:shd w:fill="CCEEFF" w:val="clear"/>
            <w:vAlign w:val="center"/>
          </w:tcPr>
          <w:p>
            <w:pPr>
              <w:pStyle w:val="TableContents"/>
              <w:bidi w:val="0"/>
              <w:spacing w:before="0" w:after="283"/>
              <w:jc w:val="center"/>
              <w:rPr/>
            </w:pPr>
            <w:r>
              <w:rPr/>
              <w:t>06/24/2026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680" w:type="dxa"/>
            <w:tcBorders/>
            <w:shd w:fill="FFFFFF" w:val="clear"/>
            <w:vAlign w:val="center"/>
          </w:tcPr>
          <w:p>
            <w:pPr>
              <w:pStyle w:val="TableContents"/>
              <w:bidi w:val="0"/>
              <w:spacing w:before="0" w:after="283"/>
              <w:jc w:val="center"/>
              <w:rPr/>
            </w:pPr>
            <w:r>
              <w:rPr/>
              <w:t>8,921</w:t>
            </w:r>
          </w:p>
        </w:tc>
        <w:tc>
          <w:tcPr>
            <w:tcW w:w="770" w:type="dxa"/>
            <w:tcBorders/>
            <w:shd w:fill="FFFFFF" w:val="clear"/>
            <w:vAlign w:val="center"/>
          </w:tcPr>
          <w:p>
            <w:pPr>
              <w:pStyle w:val="TableContents"/>
              <w:bidi w:val="0"/>
              <w:spacing w:before="0" w:after="283"/>
              <w:jc w:val="center"/>
              <w:rPr/>
            </w:pPr>
            <w:r>
              <w:rPr/>
              <w:t>1.2235</w:t>
            </w:r>
          </w:p>
        </w:tc>
        <w:tc>
          <w:tcPr>
            <w:tcW w:w="1115" w:type="dxa"/>
            <w:tcBorders/>
            <w:shd w:fill="FFFFFF" w:val="clear"/>
            <w:vAlign w:val="center"/>
          </w:tcPr>
          <w:p>
            <w:pPr>
              <w:pStyle w:val="TableContents"/>
              <w:bidi w:val="0"/>
              <w:spacing w:before="0" w:after="283"/>
              <w:jc w:val="center"/>
              <w:rPr/>
            </w:pPr>
            <w:r>
              <w:rPr/>
              <w:t>07/01/2026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680" w:type="dxa"/>
            <w:tcBorders/>
            <w:shd w:fill="CCEEFF" w:val="clear"/>
            <w:vAlign w:val="center"/>
          </w:tcPr>
          <w:p>
            <w:pPr>
              <w:pStyle w:val="TableContents"/>
              <w:bidi w:val="0"/>
              <w:spacing w:before="0" w:after="283"/>
              <w:jc w:val="center"/>
              <w:rPr/>
            </w:pPr>
            <w:r>
              <w:rPr/>
              <w:t>16,350</w:t>
            </w:r>
          </w:p>
        </w:tc>
        <w:tc>
          <w:tcPr>
            <w:tcW w:w="770" w:type="dxa"/>
            <w:tcBorders/>
            <w:shd w:fill="CCEEFF" w:val="clear"/>
            <w:vAlign w:val="center"/>
          </w:tcPr>
          <w:p>
            <w:pPr>
              <w:pStyle w:val="TableContents"/>
              <w:bidi w:val="0"/>
              <w:spacing w:before="0" w:after="283"/>
              <w:jc w:val="center"/>
              <w:rPr/>
            </w:pPr>
            <w:r>
              <w:rPr/>
              <w:t>1.2600</w:t>
            </w:r>
          </w:p>
        </w:tc>
        <w:tc>
          <w:tcPr>
            <w:tcW w:w="1115" w:type="dxa"/>
            <w:tcBorders/>
            <w:shd w:fill="CCEEFF" w:val="clear"/>
            <w:vAlign w:val="center"/>
          </w:tcPr>
          <w:p>
            <w:pPr>
              <w:pStyle w:val="TableContents"/>
              <w:bidi w:val="0"/>
              <w:spacing w:before="0" w:after="283"/>
              <w:jc w:val="center"/>
              <w:rPr/>
            </w:pPr>
            <w:r>
              <w:rPr/>
              <w:t>07/02/2026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680" w:type="dxa"/>
            <w:tcBorders/>
            <w:shd w:fill="FFFFFF" w:val="clear"/>
            <w:vAlign w:val="center"/>
          </w:tcPr>
          <w:p>
            <w:pPr>
              <w:pStyle w:val="TableContents"/>
              <w:bidi w:val="0"/>
              <w:spacing w:before="0" w:after="283"/>
              <w:jc w:val="center"/>
              <w:rPr/>
            </w:pPr>
            <w:r>
              <w:rPr/>
              <w:t>29,729</w:t>
            </w:r>
          </w:p>
        </w:tc>
        <w:tc>
          <w:tcPr>
            <w:tcW w:w="770" w:type="dxa"/>
            <w:tcBorders/>
            <w:shd w:fill="FFFFFF" w:val="clear"/>
            <w:vAlign w:val="center"/>
          </w:tcPr>
          <w:p>
            <w:pPr>
              <w:pStyle w:val="TableContents"/>
              <w:bidi w:val="0"/>
              <w:spacing w:before="0" w:after="283"/>
              <w:jc w:val="center"/>
              <w:rPr/>
            </w:pPr>
            <w:r>
              <w:rPr/>
              <w:t>1.3020</w:t>
            </w:r>
            <w:r>
              <w:rPr>
                <w:rFonts w:ascii="Times New Roman;Times;Serif" w:hAnsi="Times New Roman;Times;Serif"/>
                <w:position w:val="7"/>
                <w:sz w:val="16"/>
                <w:sz w:val="20"/>
              </w:rPr>
              <w:t>1</w:t>
            </w:r>
          </w:p>
        </w:tc>
        <w:tc>
          <w:tcPr>
            <w:tcW w:w="1115" w:type="dxa"/>
            <w:tcBorders/>
            <w:shd w:fill="FFFFFF" w:val="clear"/>
            <w:vAlign w:val="center"/>
          </w:tcPr>
          <w:p>
            <w:pPr>
              <w:pStyle w:val="TableContents"/>
              <w:bidi w:val="0"/>
              <w:spacing w:before="0" w:after="283"/>
              <w:jc w:val="center"/>
              <w:rPr/>
            </w:pPr>
            <w:r>
              <w:rPr/>
              <w:t>07/06/2026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Alpha Structured Finance LP</w:t>
      </w:r>
    </w:p>
    <w:tbl>
      <w:tblPr>
        <w:tblW w:w="5135" w:type="dxa"/>
        <w:jc w:val="left"/>
        <w:tblInd w:w="0" w:type="dxa"/>
        <w:tblLayout w:type="fixed"/>
        <w:tblCellMar>
          <w:top w:w="0" w:type="dxa"/>
          <w:left w:w="0" w:type="dxa"/>
          <w:bottom w:w="0" w:type="dxa"/>
          <w:right w:w="0" w:type="dxa"/>
        </w:tblCellMar>
      </w:tblPr>
      <w:tblGrid>
        <w:gridCol w:w="2690"/>
        <w:gridCol w:w="560"/>
        <w:gridCol w:w="770"/>
        <w:gridCol w:w="1115"/>
      </w:tblGrid>
      <w:tr>
        <w:trPr/>
        <w:tc>
          <w:tcPr>
            <w:tcW w:w="2690" w:type="dxa"/>
            <w:tcBorders/>
            <w:vAlign w:val="center"/>
          </w:tcPr>
          <w:p>
            <w:pPr>
              <w:pStyle w:val="TableContents"/>
              <w:bidi w:val="0"/>
              <w:spacing w:before="0" w:after="283"/>
              <w:jc w:val="left"/>
              <w:rPr/>
            </w:pPr>
            <w:r>
              <w:rPr/>
              <w:t>Purchase of Common Stock</w:t>
            </w:r>
          </w:p>
        </w:tc>
        <w:tc>
          <w:tcPr>
            <w:tcW w:w="560" w:type="dxa"/>
            <w:tcBorders/>
            <w:vAlign w:val="center"/>
          </w:tcPr>
          <w:p>
            <w:pPr>
              <w:pStyle w:val="TableContents"/>
              <w:bidi w:val="0"/>
              <w:spacing w:before="0" w:after="283"/>
              <w:jc w:val="center"/>
              <w:rPr/>
            </w:pPr>
            <w:r>
              <w:rPr/>
              <w:t>9,983</w:t>
            </w:r>
          </w:p>
        </w:tc>
        <w:tc>
          <w:tcPr>
            <w:tcW w:w="770" w:type="dxa"/>
            <w:tcBorders/>
            <w:vAlign w:val="center"/>
          </w:tcPr>
          <w:p>
            <w:pPr>
              <w:pStyle w:val="TableContents"/>
              <w:bidi w:val="0"/>
              <w:spacing w:before="0" w:after="283"/>
              <w:jc w:val="center"/>
              <w:rPr/>
            </w:pPr>
            <w:r>
              <w:rPr/>
              <w:t>1.2625</w:t>
            </w:r>
            <w:r>
              <w:rPr>
                <w:rFonts w:ascii="Times New Roman;Times;Serif" w:hAnsi="Times New Roman;Times;Serif"/>
                <w:position w:val="7"/>
                <w:sz w:val="16"/>
                <w:sz w:val="20"/>
              </w:rPr>
              <w:t>2</w:t>
            </w:r>
          </w:p>
        </w:tc>
        <w:tc>
          <w:tcPr>
            <w:tcW w:w="1115" w:type="dxa"/>
            <w:tcBorders/>
            <w:vAlign w:val="center"/>
          </w:tcPr>
          <w:p>
            <w:pPr>
              <w:pStyle w:val="TableContents"/>
              <w:bidi w:val="0"/>
              <w:spacing w:before="0" w:after="283"/>
              <w:jc w:val="center"/>
              <w:rPr/>
            </w:pPr>
            <w:r>
              <w:rPr/>
              <w:t>07/02/2026</w:t>
            </w:r>
          </w:p>
        </w:tc>
      </w:tr>
    </w:tbl>
    <w:p>
      <w:pPr>
        <w:pStyle w:val="TextBody"/>
        <w:bidi w:val="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Shares were purchased by the Reporting Person in open market transactions on the transaction date, with a volume weighted average purchase price of $1.3020. The range of purchase prices on the transaction date was $1.26 to $1.51 per share. The Reporting Person undertakes to provide, upon request by the SEC staff, the Issuer, or a security holder of the Issuer, full information regarding the number of Shares purchased at each price.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Shares were purchased by the Reporting Person in open market transactions on the transaction date, with a volume weighted average purchase price of $1.2625. The range of purchase prices on the transaction date was $1.2625 to $1.2626 per share. The Reporting Person undertakes to provide, upon request by the SEC staff, the Issuer, or a security holder of the Issuer, full information regarding the number of Shares purchased at each price.</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2595</Words>
  <Characters>13077</Characters>
  <CharactersWithSpaces>15472</CharactersWithSpaces>
  <Paragraphs>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